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rPr>
          <w:rFonts w:ascii="Arial" w:hAnsi="Arial"/>
          <w:szCs w:val="24"/>
          <w:lang w:val="sr-RS"/>
        </w:rPr>
      </w:pPr>
      <w:r>
        <w:rPr>
          <w:sz w:val="22"/>
        </w:rPr>
        <w:tab/>
      </w:r>
      <w:r>
        <w:rPr>
          <w:rFonts w:ascii="Arial" w:hAnsi="Arial"/>
          <w:szCs w:val="24"/>
        </w:rPr>
        <w:t xml:space="preserve">У складу са чланом 38. Закона о удружењима („Службени гласник РС“, број 51/09,99/11-др. Закон и 44/2018 – др. закон), чланом 6. Уредбе о средствима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 16/2018) и чланом 9. Oдлуке о начину, критеријумима и поступку доделе средстава из буџета Града Зајечара за подстицање пројеката од јавног интереса које реализују удружења („Службени лист </w:t>
      </w:r>
      <w:r>
        <w:rPr>
          <w:rFonts w:eastAsia="Times New Roman" w:ascii="Arial" w:hAnsi="Arial"/>
          <w:color w:val="000000"/>
          <w:szCs w:val="24"/>
        </w:rPr>
        <w:t>града Зајечара“, бр. 4/19</w:t>
      </w:r>
      <w:r>
        <w:rPr>
          <w:rFonts w:ascii="Arial" w:hAnsi="Arial"/>
          <w:szCs w:val="24"/>
        </w:rPr>
        <w:t>), Градско веће града Зајечара, на предлог Комисије за доделу средстава удружењима за финансирање и суфинансирање пројеката од јавног интереса у Граду Зајечару, доноси одлуку о расписивању јавног конкурса за доделу средстава за подстицање пројеката или недостајућег дела средстава за финансирање пројеката из буџета Града Зајечара:</w:t>
      </w:r>
    </w:p>
    <w:p>
      <w:pPr>
        <w:pStyle w:val="Normal"/>
        <w:spacing w:before="0" w:after="6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60"/>
        <w:jc w:val="center"/>
        <w:rPr>
          <w:b/>
          <w:b/>
          <w:bCs/>
          <w:sz w:val="22"/>
        </w:rPr>
      </w:pPr>
      <w:r>
        <w:rPr>
          <w:rFonts w:ascii="Arial" w:hAnsi="Arial"/>
          <w:b/>
          <w:bCs/>
          <w:szCs w:val="24"/>
        </w:rPr>
        <w:t>ЈАВНИ КОНКУРС</w:t>
      </w:r>
    </w:p>
    <w:p>
      <w:pPr>
        <w:pStyle w:val="Normal"/>
        <w:spacing w:before="0" w:after="60"/>
        <w:jc w:val="center"/>
        <w:rPr/>
      </w:pPr>
      <w:r>
        <w:rPr>
          <w:rFonts w:ascii="Arial" w:hAnsi="Arial"/>
          <w:b/>
          <w:szCs w:val="24"/>
        </w:rPr>
        <w:t xml:space="preserve">ЗА ДОДЕЛУ СРЕДСТАВА ИЗ БУЏЕТА ГРАДА ЗАЈЕЧАРА ЗА ПОДСТИЦАЊЕ ПРОЈЕКАТА ИЛИ НЕДОСТАЈУЋЕГ ДЕЛА СРЕДСТАВА ЗА ФИНАНСИРАЊЕ ПРОЈЕКАТА ОД ЈАВНОГ ИНТЕРЕСА КОЈЕ РЕАЛИЗУЈУ УДРУЖЕЊА </w:t>
      </w:r>
      <w:r>
        <w:rPr>
          <w:rFonts w:cs="Times New Roman CYR" w:ascii="Arial" w:hAnsi="Arial"/>
          <w:b/>
          <w:bCs/>
          <w:szCs w:val="24"/>
        </w:rPr>
        <w:t>ЗА 2022. ГОДИНУ</w:t>
      </w:r>
    </w:p>
    <w:p>
      <w:pPr>
        <w:pStyle w:val="Normal"/>
        <w:spacing w:before="0" w:after="60"/>
        <w:jc w:val="center"/>
        <w:rPr>
          <w:rFonts w:ascii="Arial" w:hAnsi="Arial" w:cs="Times New Roman CYR"/>
          <w:b/>
          <w:b/>
          <w:bCs/>
          <w:szCs w:val="24"/>
        </w:rPr>
      </w:pPr>
      <w:r>
        <w:rPr>
          <w:rFonts w:cs="Times New Roman CYR" w:ascii="Arial" w:hAnsi="Arial"/>
          <w:b/>
          <w:bCs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  <w:t>ПРЕДМЕТ ЈАВНОГ КОНКУРСА</w:t>
      </w:r>
    </w:p>
    <w:p>
      <w:pPr>
        <w:pStyle w:val="Normal"/>
        <w:spacing w:before="0" w:after="6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0" w:after="60"/>
        <w:rPr/>
      </w:pPr>
      <w:r>
        <w:rPr>
          <w:rFonts w:ascii="Arial" w:hAnsi="Arial"/>
          <w:szCs w:val="24"/>
        </w:rPr>
        <w:tab/>
        <w:t xml:space="preserve">Предмет јавног конкурса су пројекти у областима од јавног интереса на територији града Зајечара, у складу са Правилником о утврђивању јавног интереса </w:t>
      </w:r>
      <w:bookmarkStart w:id="0" w:name="__DdeLink__336_2272628875"/>
      <w:r>
        <w:rPr>
          <w:rFonts w:ascii="Arial" w:hAnsi="Arial"/>
          <w:szCs w:val="24"/>
        </w:rPr>
        <w:t>(„Службени лист града Зајечара“, бр. 4/19)</w:t>
      </w:r>
      <w:bookmarkEnd w:id="0"/>
      <w:r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  <w:lang w:val="sr-RS"/>
        </w:rPr>
        <w:t>и Одлуком о приоритетним областима од јавног интереса града Зајечара за 2021. и 2022. годину у којима ће се подстицати пројекти од јавног интереса које реализују удружења („Службени лист града Зајечара“, бр. 40/21)</w:t>
      </w:r>
      <w:r>
        <w:rPr>
          <w:rFonts w:ascii="Arial" w:hAnsi="Arial"/>
          <w:szCs w:val="24"/>
        </w:rPr>
        <w:t>: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1. Социјална заштита;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2. Борачкo-инвалидска заштита;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3. Заштита лица са инвалидитетом;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4. Друштвена брига о деци и младима;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60"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5. Друштвена брига о старијим особама;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60"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6. Заштита и промовисање/унапређење људских и мањинских права;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7. Култура;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8. Развој културно-уметничког стваралаштва;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>9. Очување и подстицање народног стваралаштва и народних обичаја;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60"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10. Заштита животиња;</w:t>
      </w:r>
    </w:p>
    <w:p>
      <w:pPr>
        <w:pStyle w:val="Normal"/>
        <w:numPr>
          <w:ilvl w:val="0"/>
          <w:numId w:val="1"/>
        </w:numPr>
        <w:shd w:val="clear" w:color="auto" w:fill="FFFFFF"/>
        <w:spacing w:before="0" w:after="60"/>
        <w:jc w:val="left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11. Промовисање волонтерског рада;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12. Верске заједнице;</w:t>
      </w:r>
    </w:p>
    <w:p>
      <w:pPr>
        <w:pStyle w:val="Normal"/>
        <w:spacing w:before="0" w:after="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ПРАВО УЧЕШЋА НА ЈАВНОМ КОНКУРСУ</w:t>
      </w:r>
    </w:p>
    <w:p>
      <w:pPr>
        <w:pStyle w:val="Normal"/>
        <w:spacing w:before="0" w:after="60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spacing w:before="0" w:after="6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Право учешћа на јавном конкурсу имају удружења која су регистрована на територији града Зајечара, односно друге општине или града Републике Србије, с тим да пројектне активности реализују на територији града Зајечара.</w:t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Комисија за доделу средстава удружењима за финансирање и суфинансирање пројеката од јавног интереса у Граду Зајечару (у даљем тексту: Комисија), по службеној дужности, утврђује да ли је удружење предлагач пројекта/учесник конкурса уписано у регистар надлежног органа, да ли се, према статутарним одредбама, циљеви тог удружења остварују у области у којој се пројекат реализује, као и да ли је рачун тог удружења у блокади.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Право учешћа на јавном конкурсу немају удружења која: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Нису поднела извештај о реализацији пројеката/програма и/или нису оправдала средства додељена на прошлогодишњем конкурсу;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Нису предузела све потребне мере за избегавање сукоба интереса на прошлогодишњем конкурсу;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Су ненаменски трошила буџетска средства која су им била додељена на прошлогодишњем конкурсу, па је покренут поступак раскида уговора;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Се не придржавају мера о антикорупционој политици;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Нису поднела одговарајућа средства обезбеђења на прошлогодишњем конкурсу;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Нису омогућила Комисији и стручњацима за оцену успешности пројеката финансираних на прошлогодишњем конкурсу - праћење реализације пројекта и увид у сву потребну документацију;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Су средства за реализацију одобреног пројекта/програма већ обезбедила на други начин;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Имају текући рачун у блокади, пореске дугове и дугове према организацијама социјалног осигурања;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Су брисана из  регистара надлежног органа, или су у поступку ликвидације, стечајном поступку или под привременом мером забране делатности;</w:t>
      </w:r>
    </w:p>
    <w:p>
      <w:pPr>
        <w:pStyle w:val="ListParagraph"/>
        <w:numPr>
          <w:ilvl w:val="0"/>
          <w:numId w:val="1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Имају у последње две године казну правоснажном одлуком за прекршај или привредни преступ везан за њихову делатност;</w:t>
      </w:r>
    </w:p>
    <w:p>
      <w:pPr>
        <w:pStyle w:val="ListParagraph"/>
        <w:numPr>
          <w:ilvl w:val="0"/>
          <w:numId w:val="1"/>
        </w:numPr>
        <w:spacing w:before="0" w:after="60"/>
        <w:contextualSpacing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Нису јавно назначила да је реализацију конкретног пројекта/програма подржао град Зајечар.</w:t>
      </w:r>
    </w:p>
    <w:p>
      <w:pPr>
        <w:pStyle w:val="ListParagraph"/>
        <w:numPr>
          <w:ilvl w:val="0"/>
          <w:numId w:val="1"/>
        </w:numPr>
        <w:spacing w:before="0" w:after="60"/>
        <w:contextualSpacing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>Имају дуговања и неизмирене обавезе према граду Зајечару</w:t>
      </w:r>
    </w:p>
    <w:p>
      <w:pPr>
        <w:pStyle w:val="ListParagraph"/>
        <w:numPr>
          <w:ilvl w:val="0"/>
          <w:numId w:val="1"/>
        </w:numPr>
        <w:spacing w:before="0" w:after="60"/>
        <w:contextualSpacing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>Су у судском спору са градом Зајечаром</w:t>
      </w:r>
    </w:p>
    <w:p>
      <w:pPr>
        <w:pStyle w:val="Normal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szCs w:val="24"/>
        </w:rPr>
        <w:tab/>
        <w:t>Град Зајечар</w:t>
      </w:r>
      <w:r>
        <w:rPr>
          <w:rFonts w:ascii="Arial" w:hAnsi="Arial"/>
          <w:b/>
          <w:szCs w:val="24"/>
        </w:rPr>
        <w:t xml:space="preserve"> неће финансирати:</w:t>
      </w:r>
    </w:p>
    <w:p>
      <w:pPr>
        <w:pStyle w:val="ListParagraph"/>
        <w:numPr>
          <w:ilvl w:val="0"/>
          <w:numId w:val="2"/>
        </w:numPr>
        <w:spacing w:before="0" w:after="60"/>
        <w:ind w:left="360" w:hanging="360"/>
        <w:contextualSpacing/>
        <w:rPr>
          <w:sz w:val="22"/>
        </w:rPr>
      </w:pPr>
      <w:r>
        <w:rPr>
          <w:rFonts w:ascii="Arial" w:hAnsi="Arial"/>
          <w:szCs w:val="24"/>
        </w:rPr>
        <w:t>Политичке и страначке организације, верске организације, групе и секте и њихове активности;</w:t>
      </w:r>
    </w:p>
    <w:p>
      <w:pPr>
        <w:pStyle w:val="ListParagraph"/>
        <w:numPr>
          <w:ilvl w:val="0"/>
          <w:numId w:val="2"/>
        </w:numPr>
        <w:spacing w:before="0" w:after="60"/>
        <w:ind w:left="360" w:hanging="360"/>
        <w:contextualSpacing/>
        <w:rPr>
          <w:sz w:val="22"/>
        </w:rPr>
      </w:pPr>
      <w:r>
        <w:rPr>
          <w:rFonts w:ascii="Arial" w:hAnsi="Arial"/>
          <w:szCs w:val="24"/>
        </w:rPr>
        <w:t>Активности у виду додељивања награда и спонзорстава појединцима и другим организацијама;</w:t>
      </w:r>
    </w:p>
    <w:p>
      <w:pPr>
        <w:pStyle w:val="ListParagraph"/>
        <w:numPr>
          <w:ilvl w:val="0"/>
          <w:numId w:val="2"/>
        </w:numPr>
        <w:spacing w:before="0" w:after="60"/>
        <w:ind w:left="360" w:hanging="360"/>
        <w:contextualSpacing/>
        <w:rPr>
          <w:sz w:val="22"/>
        </w:rPr>
      </w:pPr>
      <w:r>
        <w:rPr>
          <w:rFonts w:ascii="Arial" w:hAnsi="Arial"/>
          <w:szCs w:val="24"/>
        </w:rPr>
        <w:t>Активности који доносе профит удружењу;</w:t>
      </w:r>
    </w:p>
    <w:p>
      <w:pPr>
        <w:pStyle w:val="ListParagraph"/>
        <w:numPr>
          <w:ilvl w:val="0"/>
          <w:numId w:val="2"/>
        </w:numPr>
        <w:spacing w:before="0" w:after="60"/>
        <w:ind w:left="360" w:hanging="360"/>
        <w:contextualSpacing/>
        <w:rPr>
          <w:sz w:val="22"/>
        </w:rPr>
      </w:pPr>
      <w:r>
        <w:rPr>
          <w:rFonts w:ascii="Arial" w:hAnsi="Arial"/>
          <w:szCs w:val="24"/>
        </w:rPr>
        <w:t>Активности које заговарају нетолерантност и насиље или било коју врсту дискриминације.</w:t>
      </w:r>
    </w:p>
    <w:p>
      <w:pPr>
        <w:pStyle w:val="Normal"/>
        <w:spacing w:before="0" w:after="60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ОБИМ СРЕДСТАВА ПРЕДВИЂЕНИХ ЗА ДОДЕЛУ ПО ЈАВНОМ КОНКУРСУ</w:t>
      </w:r>
    </w:p>
    <w:p>
      <w:pPr>
        <w:pStyle w:val="Normal"/>
        <w:spacing w:before="0" w:after="60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spacing w:before="0" w:after="60"/>
        <w:rPr/>
      </w:pPr>
      <w:r>
        <w:rPr>
          <w:rFonts w:ascii="Arial" w:hAnsi="Arial"/>
          <w:szCs w:val="24"/>
        </w:rPr>
        <w:tab/>
        <w:t xml:space="preserve">Средства за реализацију пројеката/програма из става 1. овог јавног конкурса обезбеђена су у буџету </w:t>
      </w:r>
      <w:r>
        <w:rPr>
          <w:rFonts w:eastAsia="Times New Roman" w:cs="Times New Roman" w:ascii="Arial" w:hAnsi="Arial" w:cstheme="majorBidi"/>
          <w:color w:val="000000"/>
          <w:szCs w:val="24"/>
        </w:rPr>
        <w:t>града Зајечара</w:t>
      </w:r>
      <w:r>
        <w:rPr>
          <w:rFonts w:ascii="Arial" w:hAnsi="Arial"/>
          <w:szCs w:val="24"/>
        </w:rPr>
        <w:t xml:space="preserve"> за 2022. годину, на основу Одлуке о буџету </w:t>
      </w:r>
      <w:r>
        <w:rPr>
          <w:rFonts w:eastAsia="Times New Roman" w:cs="Times New Roman" w:ascii="Arial" w:hAnsi="Arial" w:cstheme="majorBidi"/>
          <w:color w:val="000000"/>
          <w:szCs w:val="24"/>
        </w:rPr>
        <w:t>града Зајечара</w:t>
      </w:r>
      <w:r>
        <w:rPr>
          <w:rFonts w:ascii="Arial" w:hAnsi="Arial"/>
          <w:szCs w:val="24"/>
        </w:rPr>
        <w:t xml:space="preserve"> за 2022. годину, у укупном минималном износу од </w:t>
      </w:r>
      <w:r>
        <w:rPr>
          <w:rFonts w:ascii="Arial" w:hAnsi="Arial"/>
          <w:bCs/>
          <w:szCs w:val="24"/>
        </w:rPr>
        <w:t>50.000,00 динара</w:t>
      </w:r>
      <w:r>
        <w:rPr>
          <w:rFonts w:ascii="Arial" w:hAnsi="Arial"/>
          <w:szCs w:val="24"/>
        </w:rPr>
        <w:t>, односно максималном износу од 1</w:t>
      </w:r>
      <w:r>
        <w:rPr>
          <w:rFonts w:ascii="Arial" w:hAnsi="Arial"/>
          <w:bCs/>
          <w:szCs w:val="24"/>
        </w:rPr>
        <w:t>1.000.000,00 динара</w:t>
      </w:r>
      <w:r>
        <w:rPr>
          <w:rFonts w:ascii="Arial" w:hAnsi="Arial"/>
          <w:szCs w:val="24"/>
        </w:rPr>
        <w:t>, и то:</w:t>
      </w:r>
    </w:p>
    <w:p>
      <w:pPr>
        <w:pStyle w:val="ListParagraph"/>
        <w:numPr>
          <w:ilvl w:val="0"/>
          <w:numId w:val="4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средства у износу од   1.040.000,00 динара за програме/пројекте у области</w:t>
      </w:r>
      <w:r>
        <w:rPr>
          <w:rFonts w:ascii="Arial" w:hAnsi="Arial"/>
          <w:szCs w:val="24"/>
          <w:lang w:val="sr-Latn-RS"/>
        </w:rPr>
        <w:t xml:space="preserve">: </w:t>
      </w:r>
      <w:r>
        <w:rPr>
          <w:rFonts w:eastAsia="Times New Roman" w:cs="Times New Roman" w:ascii="Arial" w:hAnsi="Arial" w:cstheme="majorBidi"/>
          <w:color w:val="000000"/>
          <w:szCs w:val="24"/>
        </w:rPr>
        <w:t xml:space="preserve">Социјална заштита; Борачкo-инвалидска заштита;  Заштита лица са инвалидитетом;  Друштвена брига о старијим особама; </w:t>
      </w:r>
    </w:p>
    <w:p>
      <w:pPr>
        <w:pStyle w:val="ListParagraph"/>
        <w:numPr>
          <w:ilvl w:val="0"/>
          <w:numId w:val="4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средства у износу од </w:t>
      </w:r>
      <w:r>
        <w:rPr>
          <w:rFonts w:ascii="Arial" w:hAnsi="Arial"/>
          <w:szCs w:val="24"/>
          <w:lang w:val="sr-Latn-RS"/>
        </w:rPr>
        <w:t xml:space="preserve">800.000,00  </w:t>
      </w:r>
      <w:r>
        <w:rPr>
          <w:rFonts w:ascii="Arial" w:hAnsi="Arial"/>
          <w:szCs w:val="24"/>
        </w:rPr>
        <w:t>динара за програме/пројекте у области:</w:t>
      </w:r>
      <w:r>
        <w:rPr>
          <w:rFonts w:eastAsia="Times New Roman" w:cs="Times New Roman" w:ascii="Arial" w:hAnsi="Arial" w:cstheme="majorBidi"/>
          <w:color w:val="000000"/>
          <w:szCs w:val="24"/>
        </w:rPr>
        <w:t xml:space="preserve"> Култура; Развој културно-уметничког стваралаштва;  Очување и подстицање народног стваралаштва и народних обичаја; Заштита и промовисање/унапређење људских и мањинских права;</w:t>
      </w:r>
    </w:p>
    <w:p>
      <w:pPr>
        <w:pStyle w:val="ListParagraph"/>
        <w:numPr>
          <w:ilvl w:val="0"/>
          <w:numId w:val="4"/>
        </w:numPr>
        <w:shd w:val="clear" w:color="auto" w:fill="FFFFFF"/>
        <w:spacing w:before="0" w:after="120"/>
        <w:contextualSpacing/>
        <w:jc w:val="left"/>
        <w:rPr/>
      </w:pPr>
      <w:r>
        <w:rPr>
          <w:rFonts w:ascii="Arial" w:hAnsi="Arial"/>
          <w:szCs w:val="24"/>
        </w:rPr>
        <w:t>средства у износу  300.000,00 од динара за програме/пројекте у области: Заштита животиња;</w:t>
      </w:r>
    </w:p>
    <w:p>
      <w:pPr>
        <w:pStyle w:val="ListParagraph"/>
        <w:numPr>
          <w:ilvl w:val="0"/>
          <w:numId w:val="4"/>
        </w:numPr>
        <w:shd w:val="clear" w:color="auto" w:fill="FFFFFF"/>
        <w:spacing w:before="0" w:after="120"/>
        <w:contextualSpacing/>
        <w:jc w:val="left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средства у износу  240.000,00</w:t>
      </w:r>
      <w:r>
        <w:rPr>
          <w:rFonts w:ascii="Arial" w:hAnsi="Arial"/>
          <w:szCs w:val="24"/>
          <w:lang w:val="sr-Latn-RS"/>
        </w:rPr>
        <w:t xml:space="preserve"> </w:t>
      </w:r>
      <w:r>
        <w:rPr>
          <w:rFonts w:ascii="Arial" w:hAnsi="Arial"/>
          <w:szCs w:val="24"/>
        </w:rPr>
        <w:t xml:space="preserve">од динара за програме/пројекте у области: Промовисање волонтерског рада; </w:t>
      </w:r>
      <w:r>
        <w:rPr>
          <w:rFonts w:eastAsia="Times New Roman" w:cs="Times New Roman" w:ascii="Arial" w:hAnsi="Arial" w:cstheme="majorBidi"/>
          <w:color w:val="000000"/>
          <w:szCs w:val="24"/>
        </w:rPr>
        <w:t xml:space="preserve"> Друштвена брига о деци и младима;</w:t>
      </w:r>
    </w:p>
    <w:p>
      <w:pPr>
        <w:pStyle w:val="ListParagraph"/>
        <w:numPr>
          <w:ilvl w:val="0"/>
          <w:numId w:val="4"/>
        </w:numPr>
        <w:shd w:val="clear" w:color="auto" w:fill="FFFFFF"/>
        <w:spacing w:before="0" w:after="120"/>
        <w:contextualSpacing/>
        <w:jc w:val="left"/>
        <w:rPr/>
      </w:pPr>
      <w:r>
        <w:rPr>
          <w:rFonts w:ascii="Arial" w:hAnsi="Arial"/>
          <w:szCs w:val="24"/>
        </w:rPr>
        <w:t>средства у износу   11.000.000,00 од динара за програме/пројекте у области: Верске заједнице;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Средства која нису расподељена на јавном конкурсу, биће пренамењена.</w:t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szCs w:val="24"/>
        </w:rPr>
        <w:tab/>
        <w:t xml:space="preserve">Доњи лимит буџета по једном програму/пројекту износи </w:t>
      </w:r>
      <w:r>
        <w:rPr>
          <w:rFonts w:eastAsia="Times New Roman" w:cs="Times New Roman" w:ascii="Arial" w:hAnsi="Arial" w:cstheme="majorBidi"/>
          <w:bCs/>
          <w:szCs w:val="24"/>
        </w:rPr>
        <w:t>50.000,00 динара</w:t>
      </w:r>
      <w:r>
        <w:rPr>
          <w:rFonts w:eastAsia="Times New Roman" w:cs="Times New Roman" w:ascii="Arial" w:hAnsi="Arial" w:cstheme="majorBidi"/>
          <w:szCs w:val="24"/>
        </w:rPr>
        <w:t>., а горњи лимит по једном програму/пројекту износи</w:t>
      </w:r>
      <w:r>
        <w:rPr>
          <w:rFonts w:eastAsia="Times New Roman" w:cs="Times New Roman" w:ascii="Arial" w:hAnsi="Arial" w:cstheme="majorBidi"/>
          <w:bCs/>
          <w:szCs w:val="24"/>
        </w:rPr>
        <w:t xml:space="preserve"> 11.000.000,00 динара</w:t>
      </w:r>
      <w:r>
        <w:rPr>
          <w:rFonts w:eastAsia="Times New Roman" w:cs="Times New Roman" w:ascii="Arial" w:hAnsi="Arial" w:cstheme="majorBidi"/>
          <w:szCs w:val="24"/>
        </w:rPr>
        <w:t>.</w:t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</w:rPr>
      </w:pPr>
      <w:r>
        <w:rPr>
          <w:rFonts w:eastAsia="Times New Roman" w:cs="Times New Roman" w:cstheme="majorBidi" w:ascii="Arial" w:hAnsi="Arial"/>
          <w:color w:val="000000"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РОК ЗА ПОДНОШЕЊЕ ПРИЈАВА</w:t>
      </w:r>
    </w:p>
    <w:p>
      <w:pPr>
        <w:pStyle w:val="Normal"/>
        <w:spacing w:before="0" w:after="60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szCs w:val="24"/>
        </w:rPr>
        <w:tab/>
        <w:t>Јавни конкурс траје 15 дана од дана објављивања Конкурса.</w:t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Удружење предлагач пројекта/учесник конкурса подноси пријаву Комисији у току трајања конкурса.</w:t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НАЧИН ПРИЈАВЉИВАЊА НА КОНКУРС</w:t>
      </w:r>
    </w:p>
    <w:p>
      <w:pPr>
        <w:pStyle w:val="Normal"/>
        <w:spacing w:before="0" w:after="60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Удружење предлагач пројекта/учесник конкурса предлог пројекта доставља на српском језику.</w:t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Пријаве на конкурс подносе се Комисији на посебним обрасцима који су саставни део конкурсне документације и чине саставни део Одлуке</w:t>
      </w:r>
      <w:r>
        <w:rPr>
          <w:rFonts w:ascii="Arial" w:hAnsi="Arial"/>
          <w:szCs w:val="24"/>
        </w:rPr>
        <w:t xml:space="preserve"> о начину, критеријумима и поступку доделе средстава из буџета Града Зајечара за подстицање пројеката од јавног интереса које реализују удружења</w:t>
      </w:r>
      <w:r>
        <w:rPr>
          <w:rFonts w:eastAsia="Times New Roman" w:cs="Times New Roman" w:ascii="Arial" w:hAnsi="Arial" w:cstheme="majorBidi"/>
          <w:color w:val="000000"/>
          <w:szCs w:val="24"/>
        </w:rPr>
        <w:t xml:space="preserve">. </w:t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Пријаве на конкурс подносе се у електронској форми или у пошиљци предатој пошти, и то најкасније до истека последњег дана утврђеног за подношење пријаве на конкурс.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Неблаговремене пријаве неће бити разматране, а непотпуне пријаве ће се сматрати неисправним.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Удружење предлагач пројекта/учесник конкурса може поднети само једну пријаву на јавни конкурс, са једним предлогом пројекта.</w:t>
      </w:r>
    </w:p>
    <w:p>
      <w:pPr>
        <w:pStyle w:val="Normal"/>
        <w:spacing w:before="0" w:after="60"/>
        <w:rPr/>
      </w:pPr>
      <w:r>
        <w:rPr>
          <w:rFonts w:ascii="Arial" w:hAnsi="Arial"/>
          <w:szCs w:val="24"/>
        </w:rPr>
        <w:tab/>
        <w:t>Конкурсна документација се може преузети са званичне интернет странице г</w:t>
      </w:r>
      <w:r>
        <w:rPr>
          <w:rFonts w:eastAsia="Times New Roman" w:cs="Times New Roman" w:ascii="Arial" w:hAnsi="Arial" w:cstheme="majorBidi"/>
          <w:color w:val="000000"/>
          <w:szCs w:val="24"/>
        </w:rPr>
        <w:t>рада Зајечар</w:t>
      </w:r>
      <w:r>
        <w:rPr>
          <w:rFonts w:ascii="Arial" w:hAnsi="Arial"/>
          <w:szCs w:val="24"/>
        </w:rPr>
        <w:t xml:space="preserve"> (www.zajecar.info).</w:t>
      </w:r>
    </w:p>
    <w:p>
      <w:pPr>
        <w:pStyle w:val="Normal"/>
        <w:spacing w:before="0" w:after="60"/>
        <w:rPr>
          <w:rFonts w:ascii="Arial" w:hAnsi="Arial" w:eastAsia="Times New Roman"/>
          <w:szCs w:val="24"/>
        </w:rPr>
      </w:pPr>
      <w:r>
        <w:rPr>
          <w:rFonts w:ascii="Arial" w:hAnsi="Arial"/>
          <w:szCs w:val="24"/>
        </w:rPr>
        <w:tab/>
        <w:t xml:space="preserve">Конкурсна документација, потписана од стране овлашћеног лица, са попуњеним пратећим обрасцима, доставља се у електронској форми или у пошиљци у затвореној коверти на писарници Градске управе </w:t>
      </w:r>
      <w:r>
        <w:rPr>
          <w:rFonts w:eastAsia="Times New Roman" w:cs="Times New Roman" w:ascii="Arial" w:hAnsi="Arial" w:cstheme="majorBidi"/>
          <w:szCs w:val="24"/>
        </w:rPr>
        <w:t>града Зајечара</w:t>
      </w:r>
      <w:r>
        <w:rPr>
          <w:rFonts w:ascii="Arial" w:hAnsi="Arial"/>
          <w:szCs w:val="24"/>
        </w:rPr>
        <w:t xml:space="preserve"> или поштом, са назнаком: </w:t>
      </w:r>
      <w:r>
        <w:rPr>
          <w:rFonts w:ascii="Arial" w:hAnsi="Arial"/>
          <w:b/>
          <w:bCs/>
          <w:szCs w:val="24"/>
        </w:rPr>
        <w:t>„</w:t>
      </w:r>
      <w:r>
        <w:rPr>
          <w:rFonts w:ascii="Arial" w:hAnsi="Arial"/>
          <w:b/>
          <w:szCs w:val="24"/>
        </w:rPr>
        <w:t xml:space="preserve">Пријава по јавном конкурсу за финансирање и суфинансирање пројеката/програма од јавног интереса које реализују удружења грађана средствима из буџета града Зајечара </w:t>
      </w:r>
      <w:r>
        <w:rPr>
          <w:rFonts w:cs="Times New Roman CYR" w:ascii="Arial" w:hAnsi="Arial"/>
          <w:b/>
          <w:bCs/>
          <w:szCs w:val="24"/>
        </w:rPr>
        <w:t>за 2022. годину</w:t>
      </w:r>
      <w:r>
        <w:rPr>
          <w:rFonts w:ascii="Arial" w:hAnsi="Arial"/>
          <w:b/>
          <w:szCs w:val="24"/>
        </w:rPr>
        <w:t xml:space="preserve"> - не отварати".</w:t>
      </w:r>
      <w:r>
        <w:rPr>
          <w:rFonts w:eastAsia="Times New Roman" w:ascii="Arial" w:hAnsi="Arial"/>
          <w:b/>
          <w:szCs w:val="24"/>
        </w:rPr>
        <w:t xml:space="preserve"> </w:t>
      </w:r>
      <w:r>
        <w:rPr>
          <w:rFonts w:eastAsia="Times New Roman" w:ascii="Arial" w:hAnsi="Arial"/>
          <w:szCs w:val="24"/>
        </w:rPr>
        <w:t>На полеђини коверте потребно је обавезно написати пуно име и адресу удружења.</w:t>
      </w:r>
    </w:p>
    <w:p>
      <w:pPr>
        <w:pStyle w:val="Normal"/>
        <w:spacing w:before="0" w:after="60"/>
        <w:rPr>
          <w:rFonts w:ascii="Arial" w:hAnsi="Arial" w:eastAsia="Times New Roman"/>
          <w:szCs w:val="24"/>
        </w:rPr>
      </w:pPr>
      <w:r>
        <w:rPr>
          <w:rFonts w:eastAsia="Times New Roman" w:ascii="Arial" w:hAnsi="Arial"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ТРАЈАЊЕ ПРОЈЕКТА</w:t>
      </w:r>
    </w:p>
    <w:p>
      <w:pPr>
        <w:pStyle w:val="Normal"/>
        <w:spacing w:before="0" w:after="60"/>
        <w:jc w:val="center"/>
        <w:rPr>
          <w:lang w:val="sr-RS"/>
        </w:rPr>
      </w:pPr>
      <w:r>
        <w:rPr>
          <w:lang w:val="sr-RS"/>
        </w:rPr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Пројекат може трајати најмање 3 месеца, а најдуже годину дана и мора бити реализован најкасније до истека буџетске године.</w:t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</w:rPr>
      </w:pPr>
      <w:r>
        <w:rPr>
          <w:rFonts w:eastAsia="Times New Roman" w:cs="Times New Roman" w:cstheme="majorBidi" w:ascii="Arial" w:hAnsi="Arial"/>
          <w:color w:val="000000"/>
          <w:szCs w:val="24"/>
        </w:rPr>
      </w:r>
    </w:p>
    <w:p>
      <w:pPr>
        <w:pStyle w:val="Normal"/>
        <w:spacing w:before="0" w:after="60"/>
        <w:jc w:val="center"/>
        <w:rPr/>
      </w:pPr>
      <w:r>
        <w:rPr>
          <w:rFonts w:ascii="Arial" w:hAnsi="Arial"/>
          <w:b/>
          <w:szCs w:val="24"/>
        </w:rPr>
        <w:t>ПРЕГЛЕД КОНКУРСНЕ ДОКУМЕНТАЦИЈЕ КОЈУ ЈЕ ПОТРЕБНО ДОСТАВИТИ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Конкурсна документација садржи: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Попуњен пријавни образац;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Попуњен образац предлога пројекта;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Попуњен образац буџета пројекта;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Попуњен образац наративног буџета пројекта;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Писмену изјаву о обезбеђивању сопственог финансирања или суфинансирања;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Писмене изјаве партнера о сарадњи на пројекту, ако се пројекат реализује на тај начин;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Изјаву сагласности да Комисија за потребе поступка јавног конкурса може извршити увид, прибавити и обрадити личне податке о чињеницама о којима се води службена евиденција;</w:t>
      </w:r>
    </w:p>
    <w:p>
      <w:pPr>
        <w:pStyle w:val="ListParagraph"/>
        <w:numPr>
          <w:ilvl w:val="0"/>
          <w:numId w:val="3"/>
        </w:numPr>
        <w:shd w:val="clear" w:color="auto" w:fill="FFFFFF"/>
        <w:spacing w:before="0" w:after="60"/>
        <w:contextualSpacing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>Другу документацију која је, по процени удружења предлагача пројекта/учесника конкурса, од значаја за доделу средстава.</w:t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У случају да удружење предлагач пројекта/учесник конкурса пријављује на јавни конкурс предлог програма свог рада на територији града Зајечара у 2022. години, а корисници програмских активности удружења су особе са инвалидитетом са територије града Зајечара које су уједно и чланови удружења, и програмске активности се спроводе у циљу већег укључивања ових чланова удружења у друштвене токове на територији града Зајечар, ово удружење приликом пријаве на јавни конкурс, подноси и свој план и програм за 2022. годину, са прегледом програмских активности које ће спровести у циљу већег укључивања својих чланова у друштвене токове на територији града Зајечар.</w:t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</w:rPr>
      </w:pPr>
      <w:r>
        <w:rPr>
          <w:rFonts w:eastAsia="Times New Roman" w:cs="Times New Roman" w:cstheme="majorBidi" w:ascii="Arial" w:hAnsi="Arial"/>
          <w:color w:val="000000"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ОСНОВНИ И ДОПУНСКИ КРИТЕРИЈУМИ ЗА БОДОВАЊЕ ПРЕДЛОГА ПРОЈЕКАТА</w:t>
      </w:r>
    </w:p>
    <w:p>
      <w:pPr>
        <w:pStyle w:val="Normal"/>
        <w:spacing w:before="0" w:after="60"/>
        <w:jc w:val="center"/>
        <w:rPr>
          <w:b/>
          <w:b/>
          <w:sz w:val="22"/>
          <w:lang w:val="sr-RS"/>
        </w:rPr>
      </w:pPr>
      <w:r>
        <w:rPr>
          <w:b/>
          <w:sz w:val="22"/>
          <w:lang w:val="sr-RS"/>
        </w:rPr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Комисија оцењује пријаве пристигле у складу са условима конкурса, према критеријумима прописаним Одлуком</w:t>
      </w:r>
      <w:r>
        <w:rPr>
          <w:rFonts w:eastAsia="Times New Roman" w:cs="Times New Roman" w:cstheme="majorBidi"/>
          <w:color w:val="000000"/>
          <w:sz w:val="22"/>
          <w:szCs w:val="24"/>
        </w:rPr>
        <w:t xml:space="preserve"> </w:t>
      </w:r>
      <w:r>
        <w:rPr>
          <w:rFonts w:eastAsia="Times New Roman" w:cs="Times New Roman" w:ascii="Arial" w:hAnsi="Arial" w:cstheme="majorBidi"/>
          <w:color w:val="000000"/>
          <w:szCs w:val="24"/>
        </w:rPr>
        <w:t xml:space="preserve">о начину, критеријумима и поступку доделе средстава из буџета Града Зајечара за подстицање пројеката од јавног интереса које реализују удружења („Службени лист </w:t>
      </w:r>
      <w:r>
        <w:rPr>
          <w:rFonts w:eastAsia="Times New Roman" w:ascii="Arial" w:hAnsi="Arial"/>
          <w:color w:val="000000"/>
          <w:szCs w:val="24"/>
        </w:rPr>
        <w:t>града Зајечара“, бр. 4/19</w:t>
      </w:r>
      <w:r>
        <w:rPr>
          <w:rFonts w:eastAsia="Times New Roman" w:cs="Times New Roman" w:ascii="Arial" w:hAnsi="Arial" w:cstheme="majorBidi"/>
          <w:color w:val="000000"/>
          <w:szCs w:val="24"/>
        </w:rPr>
        <w:t>)</w:t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Оцена и избор пројеката који ће се финансирати средствима из буџета града Зајечара врши се применом следећих основних критеријума:</w:t>
      </w:r>
    </w:p>
    <w:tbl>
      <w:tblPr>
        <w:tblW w:w="9350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75"/>
        <w:gridCol w:w="4760"/>
        <w:gridCol w:w="1715"/>
      </w:tblGrid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contextualSpacing/>
              <w:jc w:val="center"/>
              <w:rPr>
                <w:rFonts w:ascii="Times New Roman" w:hAnsi="Times New Roman" w:cs="Times New Roman" w:asciiTheme="majorBidi" w:cstheme="majorBidi" w:hAnsiTheme="majorBidi"/>
                <w:b/>
                <w:b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b/>
                <w:szCs w:val="24"/>
              </w:rPr>
              <w:t>Критеријуми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b/>
                <w:b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b/>
                <w:szCs w:val="24"/>
              </w:rPr>
              <w:t>Објашњење критеријума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b/>
                <w:b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b/>
                <w:szCs w:val="24"/>
              </w:rPr>
              <w:t>Број бодова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contextualSpacing/>
              <w:rPr>
                <w:rFonts w:ascii="Arial" w:hAnsi="Arial"/>
                <w:szCs w:val="24"/>
              </w:rPr>
            </w:pPr>
            <w:r>
              <w:rPr>
                <w:rFonts w:cs="Times New Roman" w:ascii="Arial" w:hAnsi="Arial" w:cstheme="majorBidi"/>
                <w:szCs w:val="24"/>
              </w:rPr>
              <w:t xml:space="preserve">Усаглашеност пројекта са стратешким оквиром града Зајечара 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contextualSpacing/>
              <w:rPr>
                <w:rFonts w:ascii="Arial" w:hAnsi="Arial"/>
                <w:szCs w:val="24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је и у којој мери је пројекат стратешки утемељен, односно у складу са важећим стратешким опредељењем града Зајечара?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>
                <w:b/>
                <w:bCs/>
                <w:highlight w:val="white"/>
              </w:rPr>
              <w:t>20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 xml:space="preserve">Дефинисани циљеви пројекта, циљна група и корисници пројекта, број директних и индиректних корисника пројекта и њихове потребе 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су циљеви пројекта јасно дефинисани, достижни у предвиђеном времену трајања пројекта и да ли недвосмислено представљају решење уочених проблема у локалној заједници, односно могу да задовоље јавни интерес?</w:t>
            </w:r>
          </w:p>
          <w:p>
            <w:pPr>
              <w:pStyle w:val="Normal"/>
              <w:spacing w:before="0" w:after="60"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су циљна група и корисници јасно дефинисани?</w:t>
            </w:r>
          </w:p>
          <w:p>
            <w:pPr>
              <w:pStyle w:val="Normal"/>
              <w:spacing w:before="0" w:after="60"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је представљена процена броја директних и индиректних корисника пројекта?</w:t>
            </w:r>
          </w:p>
          <w:p>
            <w:pPr>
              <w:pStyle w:val="Normal"/>
              <w:spacing w:before="0" w:after="60"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У ком обиму ће потребе циљне групе и корисника пројекта бити задовољене – обим задовољења јавног интереса?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>
                <w:b/>
                <w:bCs/>
                <w:highlight w:val="white"/>
              </w:rPr>
              <w:t>15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 xml:space="preserve">Одрживост пројекта 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rPr>
                <w:rFonts w:ascii="Arial" w:hAnsi="Arial"/>
                <w:szCs w:val="24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је ће се активности пројекта наставити и после финансирања пројекта средствима из буџета града Зајечара и на који начин ће се спроводити и финансирати активности пројекта по престанку финансирања средствима из буџета града Зајечара?</w:t>
            </w:r>
          </w:p>
          <w:p>
            <w:pPr>
              <w:pStyle w:val="Normal"/>
              <w:spacing w:before="0" w:after="60"/>
              <w:rPr>
                <w:rFonts w:ascii="Arial" w:hAnsi="Arial"/>
                <w:szCs w:val="24"/>
              </w:rPr>
            </w:pPr>
            <w:r>
              <w:rPr>
                <w:rFonts w:cs="Times New Roman" w:ascii="Arial" w:hAnsi="Arial" w:cstheme="majorBidi"/>
                <w:szCs w:val="24"/>
              </w:rPr>
              <w:t xml:space="preserve">Да ли је пројекат одржив у институционалном и развојном смислу – да ли ће пројектне активности бити спровођене и по истеку времена за спровођење пројекта у оквиру којег ће се финансирати/суфинансирати средствима из буџета града Зајечара?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>
                <w:b/>
                <w:bCs/>
                <w:highlight w:val="white"/>
              </w:rPr>
              <w:t>20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 xml:space="preserve">Очекивани резултати и ефекти пројекта 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су резултати и ефекти пројекта мерљиви?</w:t>
            </w:r>
          </w:p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ће очекивани позитивни ефекти бити далекосежни – у ком року се очекују позитивни ефекти на директне и индиректне кориснике пројекта?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>
                <w:b/>
                <w:bCs/>
                <w:highlight w:val="white"/>
              </w:rPr>
              <w:t>15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Економичност буџета пројекта и однос трошкова и очекиваних резултата и ефеката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су трошкови усклађени са предложеним пројектним активностима?</w:t>
            </w:r>
          </w:p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су трошкови пројекта реални?</w:t>
            </w:r>
          </w:p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ће очекивани позитивни ефекти надмашити потенцијалне негативне ефекте спровођења пројекта и његове трошкове - Да ли је однос између процењених трошкова и очекованих резултата и ефеката задовољавајући?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>
                <w:b/>
                <w:bCs/>
                <w:highlight w:val="white"/>
              </w:rPr>
              <w:t>15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 xml:space="preserve">Суфинансирање пројекта из других извора 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contextualSpacing/>
              <w:rPr>
                <w:rFonts w:ascii="Times New Roman" w:hAnsi="Times New Roman" w:cs="Times New Roman" w:asciiTheme="majorBidi" w:cstheme="majorBidi" w:hAnsiTheme="majorBidi"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szCs w:val="24"/>
              </w:rPr>
              <w:t>Да ли је удружење предлагач пројекта/учесник конкурса обезбедило сопствено новчано учешће или други вид учешћа и/или суфинансирање пројекта из других извора?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120"/>
              <w:ind w:left="144" w:right="144" w:hanging="0"/>
              <w:contextualSpacing/>
              <w:jc w:val="center"/>
              <w:rPr/>
            </w:pPr>
            <w:r>
              <w:rPr>
                <w:b/>
                <w:bCs/>
                <w:highlight w:val="white"/>
              </w:rPr>
              <w:t>15</w:t>
            </w:r>
          </w:p>
        </w:tc>
      </w:tr>
      <w:tr>
        <w:trPr/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 w:cs="Times New Roman" w:asciiTheme="majorBidi" w:cstheme="majorBidi" w:hAnsiTheme="majorBidi"/>
                <w:b/>
                <w:b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b/>
                <w:bCs/>
                <w:szCs w:val="24"/>
              </w:rPr>
              <w:t xml:space="preserve">УКУПНО: </w:t>
            </w:r>
          </w:p>
        </w:tc>
        <w:tc>
          <w:tcPr>
            <w:tcW w:w="4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Arial" w:hAnsi="Arial" w:cs="Times New Roman" w:cstheme="majorBidi"/>
                <w:b/>
                <w:b/>
                <w:bCs/>
                <w:szCs w:val="24"/>
              </w:rPr>
            </w:pPr>
            <w:r>
              <w:rPr>
                <w:rFonts w:cs="Times New Roman" w:cstheme="majorBidi" w:ascii="Arial" w:hAnsi="Arial"/>
                <w:b/>
                <w:bCs/>
                <w:szCs w:val="24"/>
              </w:rPr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 w:cs="Times New Roman" w:asciiTheme="majorBidi" w:cstheme="majorBidi" w:hAnsiTheme="majorBidi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Arial" w:hAnsi="Arial" w:cstheme="majorBidi"/>
                <w:b/>
                <w:bCs/>
                <w:szCs w:val="24"/>
              </w:rPr>
              <w:t>100</w:t>
            </w:r>
          </w:p>
        </w:tc>
      </w:tr>
    </w:tbl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</w:rPr>
      </w:pPr>
      <w:r>
        <w:rPr>
          <w:rFonts w:eastAsia="Times New Roman" w:cs="Times New Roman" w:cstheme="majorBidi" w:ascii="Arial" w:hAnsi="Arial"/>
          <w:color w:val="000000"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  <w:lang w:val="sr-RS"/>
        </w:rPr>
      </w:pPr>
      <w:r>
        <w:rPr>
          <w:rFonts w:ascii="Arial" w:hAnsi="Arial"/>
          <w:b/>
          <w:szCs w:val="24"/>
        </w:rPr>
        <w:t>БЛИЖА УПУТСТВА О УСЛОВИМА ЗА ПОДНОШЕЊЕ ПРИЈАВА И КРИТЕРИЈУМИМА ЗА ДОДЕЛУ СРЕДСТАВА</w:t>
      </w:r>
    </w:p>
    <w:p>
      <w:pPr>
        <w:pStyle w:val="Normal"/>
        <w:spacing w:before="0" w:after="60"/>
        <w:jc w:val="center"/>
        <w:rPr>
          <w:b/>
          <w:b/>
          <w:sz w:val="22"/>
          <w:lang w:val="sr-RS"/>
        </w:rPr>
      </w:pPr>
      <w:r>
        <w:rPr>
          <w:b/>
          <w:sz w:val="22"/>
          <w:lang w:val="sr-RS"/>
        </w:rPr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Ради потпунијег сагледавања квалитета предлога пројеката, Комисија може тражити појашњења предлога пројекта и/или обавити интервју са удружењем предлагачем пројекта/учесником конкурса, као и предложити корекцију предлога пројекта.</w:t>
      </w:r>
    </w:p>
    <w:p>
      <w:pPr>
        <w:pStyle w:val="Normal"/>
        <w:shd w:val="clear" w:color="auto" w:fill="FFFFFF"/>
        <w:spacing w:before="0" w:after="60"/>
        <w:rPr>
          <w:sz w:val="22"/>
        </w:rPr>
      </w:pPr>
      <w:r>
        <w:rPr>
          <w:rFonts w:ascii="Arial" w:hAnsi="Arial"/>
          <w:szCs w:val="24"/>
        </w:rPr>
        <w:tab/>
        <w:t>Уколико се износ одобрених средства разликује од тражених средства за финансирање пројекта,</w:t>
      </w:r>
      <w:r>
        <w:rPr>
          <w:rFonts w:ascii="Arial" w:hAnsi="Arial"/>
          <w:b/>
          <w:szCs w:val="24"/>
        </w:rPr>
        <w:t xml:space="preserve"> </w:t>
      </w:r>
      <w:r>
        <w:rPr>
          <w:rFonts w:ascii="Arial" w:hAnsi="Arial"/>
          <w:szCs w:val="24"/>
        </w:rPr>
        <w:t xml:space="preserve">Комисија може захтевати од подносиоца предлога пројеката евентуално усклађивање буџета пројекта односно рокова реализације пројекта. 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sz w:val="22"/>
        </w:rPr>
      </w:pPr>
      <w:r>
        <w:rPr>
          <w:rFonts w:ascii="Arial" w:hAnsi="Arial"/>
          <w:szCs w:val="24"/>
        </w:rPr>
        <w:tab/>
        <w:t>Уколико подносилац предлога пројекта не пристане на предложене корекције од стране Комисије, сматраће се да је одустао од пријаве на конкурс.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 xml:space="preserve">Чланови комисије појединачно бодују сваки пројекат на основу критеријума. Просечан број бодова представља коначан број бодова за тај предлог пројекта. </w:t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Пројекат који је вреднован са мање од 60 бодова и који није подржала већина чланова Комисије неће бити предмет избора за доделу средстава из буџета града Зајечара.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О спроведеном поступку јавног конкурса Комисија води записник.</w:t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</w:rPr>
      </w:pPr>
      <w:r>
        <w:rPr>
          <w:rFonts w:eastAsia="Times New Roman" w:cs="Times New Roman" w:cstheme="majorBidi" w:ascii="Arial" w:hAnsi="Arial"/>
          <w:color w:val="000000"/>
          <w:szCs w:val="24"/>
        </w:rPr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</w:rPr>
      </w:pPr>
      <w:r>
        <w:rPr>
          <w:rFonts w:eastAsia="Times New Roman" w:cs="Times New Roman" w:cstheme="majorBidi" w:ascii="Arial" w:hAnsi="Arial"/>
          <w:color w:val="000000"/>
          <w:szCs w:val="24"/>
        </w:rPr>
      </w:r>
    </w:p>
    <w:p>
      <w:pPr>
        <w:pStyle w:val="Normal"/>
        <w:shd w:val="clear" w:color="auto" w:fill="FFFFFF"/>
        <w:spacing w:before="0" w:after="60"/>
        <w:jc w:val="center"/>
        <w:rPr>
          <w:rFonts w:ascii="Arial" w:hAnsi="Arial" w:eastAsia="Times New Roman" w:cs="Times New Roman" w:cstheme="majorBidi"/>
          <w:b/>
          <w:b/>
          <w:bCs/>
          <w:color w:val="000000"/>
          <w:szCs w:val="24"/>
        </w:rPr>
      </w:pPr>
      <w:r>
        <w:rPr>
          <w:rFonts w:eastAsia="Times New Roman" w:cs="Times New Roman" w:ascii="Arial" w:hAnsi="Arial" w:cstheme="majorBidi"/>
          <w:b/>
          <w:bCs/>
          <w:color w:val="000000"/>
          <w:szCs w:val="24"/>
        </w:rPr>
        <w:t>РОК ЗА ДОНОШЕЊЕ ОДЛУКЕ О ИЗБОРУ ПРОЈЕКАТА</w:t>
      </w:r>
    </w:p>
    <w:p>
      <w:pPr>
        <w:pStyle w:val="Normal"/>
        <w:shd w:val="clear" w:color="auto" w:fill="FFFFFF"/>
        <w:spacing w:before="0" w:after="60"/>
        <w:jc w:val="center"/>
        <w:rPr>
          <w:rFonts w:ascii="Times New Roman" w:hAnsi="Times New Roman" w:eastAsia="Times New Roman" w:cs="Times New Roman" w:asciiTheme="majorBidi" w:cstheme="majorBidi" w:hAnsiTheme="majorBidi"/>
          <w:b/>
          <w:b/>
          <w:bCs/>
          <w:color w:val="000000"/>
          <w:sz w:val="22"/>
        </w:rPr>
      </w:pPr>
      <w:r>
        <w:rPr>
          <w:rFonts w:eastAsia="Times New Roman" w:cs="Times New Roman" w:cstheme="majorBidi"/>
          <w:b/>
          <w:bCs/>
          <w:color w:val="000000"/>
          <w:sz w:val="22"/>
        </w:rPr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Комисија, у складу са условима јавног конкурса и критеријумима, утврђује прелиминарну листу изабраних пројеката и сачињава предлог одлуке о избору пројеката који ће се финансирати или суфинансирати из буџета града Зајечара, са наведеним износима новчаних средстава, и исти доставља Градском већу града Зајечара најкасније 30 дана од дана истека рока за подношење пријаве на јавни конкурс.</w:t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Прелиминарна листа објављује се на званичној интернет страници и огласној табли града Зајечар и на порталу е-Управа, без одлагања, по достављању предлога одлуке о избору пројеката који ће се финансирати или суфинансирати из буџета града Зајечара Градском већу граду Зајечара.</w:t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  <w:lang w:val="sr-RS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Удружење предлагач пројекта/учесник конкурса има право увида у поднете пријаве и приложену документацију у року од три радна дана од дана објављивања прелиминарне листе.</w:t>
      </w:r>
    </w:p>
    <w:p>
      <w:pPr>
        <w:pStyle w:val="Normal"/>
        <w:shd w:val="clear" w:color="auto" w:fill="FFFFFF"/>
        <w:spacing w:before="0" w:after="60"/>
        <w:rPr>
          <w:rFonts w:ascii="Times New Roman" w:hAnsi="Times New Roman" w:eastAsia="Times New Roman" w:cs="Times New Roman" w:asciiTheme="majorBidi" w:cstheme="majorBidi" w:hAnsiTheme="majorBidi"/>
          <w:color w:val="000000"/>
          <w:sz w:val="22"/>
          <w:lang w:val="sr-RS"/>
        </w:rPr>
      </w:pPr>
      <w:r>
        <w:rPr>
          <w:rFonts w:eastAsia="Times New Roman" w:cs="Times New Roman" w:cstheme="majorBidi"/>
          <w:color w:val="000000"/>
          <w:sz w:val="22"/>
          <w:lang w:val="sr-RS"/>
        </w:rPr>
      </w:r>
    </w:p>
    <w:p>
      <w:pPr>
        <w:pStyle w:val="Normal"/>
        <w:shd w:val="clear" w:color="auto" w:fill="FFFFFF"/>
        <w:spacing w:before="0" w:after="60"/>
        <w:jc w:val="center"/>
        <w:rPr>
          <w:rFonts w:ascii="Arial" w:hAnsi="Arial" w:eastAsia="Times New Roman" w:cs="Times New Roman" w:cstheme="majorBidi"/>
          <w:b/>
          <w:b/>
          <w:bCs/>
          <w:color w:val="000000"/>
          <w:szCs w:val="24"/>
        </w:rPr>
      </w:pPr>
      <w:r>
        <w:rPr>
          <w:rFonts w:eastAsia="Times New Roman" w:cs="Times New Roman" w:cstheme="majorBidi" w:ascii="Arial" w:hAnsi="Arial"/>
          <w:b/>
          <w:bCs/>
          <w:color w:val="000000"/>
          <w:szCs w:val="24"/>
        </w:rPr>
      </w:r>
    </w:p>
    <w:p>
      <w:pPr>
        <w:pStyle w:val="Normal"/>
        <w:shd w:val="clear" w:color="auto" w:fill="FFFFFF"/>
        <w:spacing w:before="0" w:after="60"/>
        <w:jc w:val="center"/>
        <w:rPr>
          <w:rFonts w:ascii="Arial" w:hAnsi="Arial" w:eastAsia="Times New Roman" w:cs="Times New Roman" w:cstheme="majorBidi"/>
          <w:b/>
          <w:b/>
          <w:bCs/>
          <w:color w:val="000000"/>
          <w:szCs w:val="24"/>
        </w:rPr>
      </w:pPr>
      <w:r>
        <w:rPr>
          <w:rFonts w:eastAsia="Times New Roman" w:cs="Times New Roman" w:ascii="Arial" w:hAnsi="Arial" w:cstheme="majorBidi"/>
          <w:b/>
          <w:bCs/>
          <w:color w:val="000000"/>
          <w:szCs w:val="24"/>
        </w:rPr>
        <w:t>ЖАЛБЕНИ РОК</w:t>
      </w:r>
    </w:p>
    <w:p>
      <w:pPr>
        <w:pStyle w:val="Normal"/>
        <w:shd w:val="clear" w:color="auto" w:fill="FFFFFF"/>
        <w:spacing w:before="0" w:after="60"/>
        <w:jc w:val="center"/>
        <w:rPr>
          <w:rFonts w:ascii="Times New Roman" w:hAnsi="Times New Roman" w:eastAsia="Times New Roman" w:cs="Times New Roman" w:asciiTheme="majorBidi" w:cstheme="majorBidi" w:hAnsiTheme="majorBidi"/>
          <w:b/>
          <w:b/>
          <w:bCs/>
          <w:color w:val="000000"/>
          <w:sz w:val="22"/>
        </w:rPr>
      </w:pPr>
      <w:r>
        <w:rPr>
          <w:rFonts w:eastAsia="Times New Roman" w:cs="Times New Roman" w:cstheme="majorBidi"/>
          <w:b/>
          <w:bCs/>
          <w:color w:val="000000"/>
          <w:sz w:val="22"/>
        </w:rPr>
      </w:r>
    </w:p>
    <w:p>
      <w:pPr>
        <w:pStyle w:val="Normal"/>
        <w:shd w:val="clear" w:color="auto" w:fill="FFFFFF"/>
        <w:spacing w:before="0" w:after="60"/>
        <w:rPr/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На прелиминарну листу удружења учесници конкурса имају право приговора у року од осам дана од дана њеног објављивања.</w:t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Одлуку о приговору, која мора бити образложена, Градско веће града Зајечара доноси у року од 8 дана од дана истека рока за подношење приговора.</w:t>
      </w:r>
    </w:p>
    <w:p>
      <w:pPr>
        <w:pStyle w:val="Normal"/>
        <w:shd w:val="clear" w:color="auto" w:fill="FFFFFF"/>
        <w:spacing w:before="0" w:after="60"/>
        <w:rPr>
          <w:rFonts w:ascii="Arial" w:hAnsi="Arial" w:eastAsia="Times New Roman" w:cs="Times New Roman" w:cstheme="majorBidi"/>
          <w:color w:val="000000"/>
          <w:szCs w:val="24"/>
          <w:lang w:val="sr-RS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По окончању поступка по приговорима, Комисија сачињава коначни предлог одлуке о избору пројеката који ће се финансирати или суфинансирати из буџета града Зајечара у року од 3 дана од доношења одлуке о приговору и подноси га Градском већу града Зајечара.</w:t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  <w:lang w:val="sr-RS"/>
        </w:rPr>
      </w:pPr>
      <w:r>
        <w:rPr>
          <w:rFonts w:ascii="Arial" w:hAnsi="Arial"/>
          <w:szCs w:val="24"/>
          <w:lang w:val="sr-RS"/>
        </w:rPr>
      </w:r>
    </w:p>
    <w:p>
      <w:pPr>
        <w:pStyle w:val="Normal"/>
        <w:shd w:val="clear" w:color="auto" w:fill="FFFFFF"/>
        <w:spacing w:before="0" w:after="60"/>
        <w:jc w:val="center"/>
        <w:rPr>
          <w:rFonts w:ascii="Arial" w:hAnsi="Arial" w:eastAsia="Times New Roman" w:cs="Times New Roman" w:cstheme="majorBidi"/>
          <w:b/>
          <w:b/>
          <w:bCs/>
          <w:color w:val="000000"/>
          <w:szCs w:val="24"/>
        </w:rPr>
      </w:pPr>
      <w:r>
        <w:rPr>
          <w:rFonts w:eastAsia="Times New Roman" w:cs="Times New Roman" w:cstheme="majorBidi" w:ascii="Arial" w:hAnsi="Arial"/>
          <w:b/>
          <w:bCs/>
          <w:color w:val="000000"/>
          <w:szCs w:val="24"/>
        </w:rPr>
      </w:r>
    </w:p>
    <w:p>
      <w:pPr>
        <w:pStyle w:val="Normal"/>
        <w:shd w:val="clear" w:color="auto" w:fill="FFFFFF"/>
        <w:spacing w:before="0" w:after="60"/>
        <w:jc w:val="center"/>
        <w:rPr>
          <w:rFonts w:ascii="Arial" w:hAnsi="Arial" w:eastAsia="Times New Roman" w:cs="Times New Roman" w:cstheme="majorBidi"/>
          <w:b/>
          <w:b/>
          <w:bCs/>
          <w:color w:val="000000"/>
          <w:szCs w:val="24"/>
        </w:rPr>
      </w:pPr>
      <w:r>
        <w:rPr>
          <w:rFonts w:eastAsia="Times New Roman" w:cs="Times New Roman" w:ascii="Arial" w:hAnsi="Arial" w:cstheme="majorBidi"/>
          <w:b/>
          <w:bCs/>
          <w:color w:val="000000"/>
          <w:szCs w:val="24"/>
        </w:rPr>
        <w:t>НАЧИН ОБЈАВЉИВАЊА ОДЛУКЕ О ИЗБОРУ ПРОЈЕКТА</w:t>
      </w:r>
    </w:p>
    <w:p>
      <w:pPr>
        <w:pStyle w:val="Normal"/>
        <w:shd w:val="clear" w:color="auto" w:fill="FFFFFF"/>
        <w:spacing w:before="0" w:after="60"/>
        <w:jc w:val="center"/>
        <w:rPr>
          <w:rFonts w:ascii="Times New Roman" w:hAnsi="Times New Roman" w:eastAsia="Times New Roman" w:cs="Times New Roman" w:asciiTheme="majorBidi" w:cstheme="majorBidi" w:hAnsiTheme="majorBidi"/>
          <w:b/>
          <w:b/>
          <w:bCs/>
          <w:color w:val="000000"/>
          <w:sz w:val="22"/>
        </w:rPr>
      </w:pPr>
      <w:r>
        <w:rPr>
          <w:rFonts w:eastAsia="Times New Roman" w:cs="Times New Roman" w:cstheme="majorBidi"/>
          <w:b/>
          <w:bCs/>
          <w:color w:val="000000"/>
          <w:sz w:val="22"/>
        </w:rPr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Одлуку о избору пројеката доноси Градоначелник града Зајечара, на основу записника о спроведеном јавном конкурсу и коначног предлога одлуке Комисије, у року од 8 дана од дана подношења коначног предлога одлуке од стране Комисије.</w:t>
      </w:r>
    </w:p>
    <w:p>
      <w:pPr>
        <w:pStyle w:val="Normal"/>
        <w:shd w:val="clear" w:color="auto" w:fill="FFFFFF"/>
        <w:spacing w:before="0" w:after="60"/>
        <w:rPr>
          <w:rFonts w:ascii="Arial" w:hAnsi="Arial"/>
          <w:szCs w:val="24"/>
        </w:rPr>
      </w:pPr>
      <w:r>
        <w:rPr>
          <w:rFonts w:eastAsia="Times New Roman" w:cs="Times New Roman" w:ascii="Arial" w:hAnsi="Arial" w:cstheme="majorBidi"/>
          <w:color w:val="000000"/>
          <w:szCs w:val="24"/>
        </w:rPr>
        <w:tab/>
        <w:t>Одлука о избору пројеката биће објављена на званичној интернет страници и огласној табли града Зајечара и на порталу е-Управа, без одлагања по њеном доношењу.</w:t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rPr>
          <w:b/>
          <w:b/>
          <w:lang w:val="sr-RS"/>
        </w:rPr>
      </w:pPr>
      <w:r>
        <w:rPr>
          <w:b/>
          <w:lang w:val="sr-RS"/>
        </w:rPr>
      </w:r>
    </w:p>
    <w:p>
      <w:pPr>
        <w:pStyle w:val="Normal"/>
        <w:spacing w:before="0" w:after="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  <w:t>СКЛАПАЊЕ УГОВОРА О ФИНАНСИРАЊУ ИЛИ СУФИНАНСИРАЊУ ПРОЈЕКАТА</w:t>
      </w:r>
    </w:p>
    <w:p>
      <w:pPr>
        <w:pStyle w:val="Normal"/>
        <w:spacing w:before="0" w:after="60"/>
        <w:jc w:val="center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NormalWeb"/>
        <w:spacing w:lineRule="auto" w:line="276" w:beforeAutospacing="0" w:before="0" w:afterAutospacing="0" w:after="60"/>
        <w:jc w:val="both"/>
        <w:rPr>
          <w:sz w:val="22"/>
          <w:szCs w:val="22"/>
        </w:rPr>
      </w:pPr>
      <w:r>
        <w:rPr>
          <w:rFonts w:ascii="Arial" w:hAnsi="Arial"/>
        </w:rPr>
        <w:tab/>
        <w:t>Након Одлуке о избору пројеката са изабраним подносиоцима пријаве закључују се појединачни уговори о финансирању или суфинансирању пројекта, којим ће прецизно бити дефинисана права и обавезе уговорних страна.</w:t>
      </w:r>
    </w:p>
    <w:p>
      <w:pPr>
        <w:pStyle w:val="NormalWeb"/>
        <w:spacing w:lineRule="auto" w:line="276" w:beforeAutospacing="0" w:before="0" w:afterAutospacing="0" w:after="60"/>
        <w:jc w:val="both"/>
        <w:rPr/>
      </w:pPr>
      <w:r>
        <w:rPr>
          <w:rFonts w:ascii="Arial" w:hAnsi="Arial"/>
        </w:rPr>
        <w:tab/>
        <w:t>Детаљне информације о конкурсу могу се добити на телефон 019/444-600.</w:t>
      </w:r>
    </w:p>
    <w:p>
      <w:pPr>
        <w:pStyle w:val="NormalWeb"/>
        <w:spacing w:lineRule="auto" w:line="276" w:beforeAutospacing="0" w:before="0" w:afterAutospacing="0" w:after="60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>
      <w:pPr>
        <w:pStyle w:val="NormalWeb"/>
        <w:spacing w:lineRule="auto" w:line="276" w:beforeAutospacing="0" w:before="0" w:afterAutospacing="0" w:after="6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Web"/>
        <w:spacing w:lineRule="auto" w:line="276" w:beforeAutospacing="0" w:before="0" w:afterAutospacing="0" w:after="60"/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Јавни конкурс је објављен на званичној интернет страници града Зајечара, огласној табли града Зајечара, на локалним медијима и на порталу е-Управа.</w:t>
      </w:r>
    </w:p>
    <w:p>
      <w:pPr>
        <w:pStyle w:val="Normal"/>
        <w:spacing w:before="0" w:after="60"/>
        <w:jc w:val="left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Normal"/>
        <w:spacing w:before="0" w:after="60"/>
        <w:jc w:val="left"/>
        <w:rPr>
          <w:rFonts w:ascii="Arial" w:hAnsi="Arial"/>
          <w:szCs w:val="24"/>
        </w:rPr>
      </w:pPr>
      <w:r>
        <w:rPr>
          <w:rFonts w:ascii="Arial" w:hAnsi="Arial"/>
          <w:szCs w:val="24"/>
        </w:rPr>
      </w:r>
    </w:p>
    <w:p>
      <w:pPr>
        <w:pStyle w:val="Normal"/>
        <w:spacing w:before="0" w:after="60"/>
        <w:rPr/>
      </w:pPr>
      <w:r>
        <w:rPr>
          <w:rFonts w:ascii="Arial" w:hAnsi="Arial"/>
          <w:szCs w:val="24"/>
        </w:rPr>
        <w:t xml:space="preserve">III бр. </w:t>
      </w:r>
      <w:r>
        <w:rPr>
          <w:rFonts w:ascii="Arial" w:hAnsi="Arial"/>
          <w:szCs w:val="24"/>
        </w:rPr>
        <w:t>401-28</w:t>
      </w:r>
      <w:r>
        <w:rPr>
          <w:rFonts w:ascii="Arial" w:hAnsi="Arial"/>
          <w:szCs w:val="24"/>
        </w:rPr>
        <w:t xml:space="preserve"> /2022                                                     </w:t>
      </w:r>
    </w:p>
    <w:p>
      <w:pPr>
        <w:pStyle w:val="Normal"/>
        <w:spacing w:before="0" w:after="60"/>
        <w:rPr/>
      </w:pPr>
      <w:r>
        <w:rPr>
          <w:rFonts w:ascii="Arial" w:hAnsi="Arial"/>
          <w:szCs w:val="24"/>
        </w:rPr>
        <w:t xml:space="preserve">У Зајечару, </w:t>
      </w:r>
      <w:r>
        <w:rPr>
          <w:rFonts w:ascii="Arial" w:hAnsi="Arial"/>
          <w:szCs w:val="24"/>
        </w:rPr>
        <w:t xml:space="preserve">16. 03. </w:t>
      </w:r>
      <w:r>
        <w:rPr>
          <w:rFonts w:ascii="Arial" w:hAnsi="Arial"/>
          <w:szCs w:val="24"/>
        </w:rPr>
        <w:t>2022. године</w:t>
      </w:r>
    </w:p>
    <w:p>
      <w:pPr>
        <w:pStyle w:val="Normal"/>
        <w:spacing w:before="0" w:after="60"/>
        <w:jc w:val="right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  <w:tab/>
        <w:t xml:space="preserve">                                                                                </w:t>
        <w:tab/>
        <w:tab/>
        <w:tab/>
        <w:tab/>
        <w:t xml:space="preserve">                                                            </w:t>
        <w:tab/>
        <w:tab/>
      </w:r>
    </w:p>
    <w:p>
      <w:pPr>
        <w:pStyle w:val="Normal"/>
        <w:spacing w:before="0" w:after="60"/>
        <w:jc w:val="right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</w:r>
      <w:bookmarkStart w:id="1" w:name="_GoBack"/>
      <w:bookmarkStart w:id="2" w:name="_GoBack"/>
      <w:bookmarkEnd w:id="2"/>
    </w:p>
    <w:p>
      <w:pPr>
        <w:pStyle w:val="Normal"/>
        <w:spacing w:before="0" w:after="60"/>
        <w:jc w:val="right"/>
        <w:rPr/>
      </w:pPr>
      <w:r>
        <w:rPr>
          <w:rFonts w:ascii="Arial" w:hAnsi="Arial"/>
          <w:b/>
          <w:szCs w:val="24"/>
        </w:rPr>
        <w:t xml:space="preserve">                          </w:t>
      </w:r>
      <w:r>
        <w:rPr>
          <w:rFonts w:ascii="Arial" w:hAnsi="Arial"/>
          <w:b/>
          <w:szCs w:val="24"/>
        </w:rPr>
        <w:t>ГРАДСКО ВЕЋЕ ГРАДА ЗАЈЕЧАРА</w:t>
        <w:tab/>
        <w:tab/>
        <w:tab/>
        <w:tab/>
        <w:tab/>
        <w:tab/>
      </w:r>
    </w:p>
    <w:p>
      <w:pPr>
        <w:pStyle w:val="Normal"/>
        <w:spacing w:before="0" w:after="60"/>
        <w:jc w:val="right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</w:r>
    </w:p>
    <w:p>
      <w:pPr>
        <w:pStyle w:val="Normal"/>
        <w:spacing w:before="0" w:after="60"/>
        <w:jc w:val="right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</w:r>
    </w:p>
    <w:p>
      <w:pPr>
        <w:pStyle w:val="Normal"/>
        <w:spacing w:before="0" w:after="60"/>
        <w:jc w:val="center"/>
        <w:rPr>
          <w:rFonts w:ascii="Arial" w:hAnsi="Arial"/>
          <w:b/>
          <w:b/>
          <w:szCs w:val="24"/>
        </w:rPr>
      </w:pPr>
      <w:r>
        <w:rPr>
          <w:rFonts w:ascii="Arial" w:hAnsi="Arial"/>
          <w:b/>
          <w:szCs w:val="24"/>
        </w:rPr>
        <w:t xml:space="preserve">                                                                                                    </w:t>
      </w:r>
      <w:r>
        <w:rPr>
          <w:rFonts w:ascii="Arial" w:hAnsi="Arial"/>
          <w:b/>
          <w:szCs w:val="24"/>
        </w:rPr>
        <w:t>ПРЕДСЕДНИК</w:t>
      </w:r>
    </w:p>
    <w:p>
      <w:pPr>
        <w:pStyle w:val="Normal"/>
        <w:spacing w:before="0" w:after="60"/>
        <w:jc w:val="center"/>
        <w:rPr/>
      </w:pPr>
      <w:r>
        <w:rPr>
          <w:rFonts w:ascii="Arial" w:hAnsi="Arial"/>
          <w:b/>
          <w:szCs w:val="24"/>
        </w:rPr>
        <w:t xml:space="preserve">                                                                                                         </w:t>
      </w:r>
      <w:r>
        <w:rPr>
          <w:rFonts w:ascii="Arial" w:hAnsi="Arial"/>
          <w:b/>
          <w:szCs w:val="24"/>
        </w:rPr>
        <w:t>Бошко Ничић</w:t>
      </w:r>
      <w:r>
        <w:rPr>
          <w:rFonts w:ascii="Arial" w:hAnsi="Arial"/>
          <w:b/>
          <w:szCs w:val="24"/>
          <w:lang w:val="sr-RS"/>
        </w:rPr>
        <w:t xml:space="preserve">, </w:t>
      </w:r>
      <w:r>
        <w:rPr>
          <w:rFonts w:ascii="Arial" w:hAnsi="Arial"/>
          <w:b/>
          <w:szCs w:val="24"/>
          <w:lang w:val="sr-RS"/>
        </w:rPr>
        <w:t>с.р.</w:t>
      </w:r>
    </w:p>
    <w:p>
      <w:pPr>
        <w:pStyle w:val="Normal"/>
        <w:spacing w:before="0" w:after="60"/>
        <w:jc w:val="right"/>
        <w:rPr/>
      </w:pPr>
      <w:r>
        <w:rPr>
          <w:rFonts w:ascii="Arial" w:hAnsi="Arial"/>
          <w:b/>
          <w:szCs w:val="24"/>
        </w:rPr>
        <w:t xml:space="preserve">                                                                                                            </w:t>
      </w:r>
      <w:r>
        <w:rPr>
          <w:rFonts w:ascii="Arial" w:hAnsi="Arial"/>
          <w:szCs w:val="24"/>
        </w:rPr>
        <w:tab/>
        <w:tab/>
        <w:tab/>
      </w:r>
    </w:p>
    <w:sectPr>
      <w:headerReference w:type="default" r:id="rId2"/>
      <w:footerReference w:type="default" r:id="rId3"/>
      <w:type w:val="nextPage"/>
      <w:pgSz w:w="12240" w:h="15840"/>
      <w:pgMar w:left="1440" w:right="1440" w:header="720" w:top="1440" w:footer="72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rFonts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semiHidden="0" w:unhideWhenUsed="0" w:qFormat="1"/>
    <w:lsdException w:name="Balloon Text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semiHidden="0" w:unhideWhenUsed="0"/>
    <w:lsdException w:name="Intense Quote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Pr>
      <w:sz w:val="16"/>
      <w:szCs w:val="16"/>
    </w:rPr>
  </w:style>
  <w:style w:type="character" w:styleId="InternetLink" w:customStyle="1">
    <w:name w:val="Internet Link"/>
    <w:uiPriority w:val="99"/>
    <w:unhideWhenUsed/>
    <w:qFormat/>
    <w:rPr>
      <w:color w:val="0000FF"/>
      <w:u w:val="single"/>
    </w:rPr>
  </w:style>
  <w:style w:type="character" w:styleId="CommentTextChar" w:customStyle="1">
    <w:name w:val="Comment Text Char"/>
    <w:link w:val="CommentText"/>
    <w:uiPriority w:val="99"/>
    <w:semiHidden/>
    <w:qFormat/>
    <w:rPr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qFormat/>
    <w:rPr>
      <w:b/>
      <w:bCs/>
      <w:sz w:val="20"/>
      <w:szCs w:val="20"/>
    </w:rPr>
  </w:style>
  <w:style w:type="character" w:styleId="BalloonTextChar" w:customStyle="1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Pr>
      <w:rFonts w:ascii="Times New Roman" w:hAnsi="Times New Roman" w:eastAsia="Calibri" w:cs="Times New Roman"/>
      <w:sz w:val="24"/>
      <w:szCs w:val="22"/>
    </w:rPr>
  </w:style>
  <w:style w:type="character" w:styleId="FooterChar" w:customStyle="1">
    <w:name w:val="Footer Char"/>
    <w:basedOn w:val="DefaultParagraphFont"/>
    <w:link w:val="Footer"/>
    <w:uiPriority w:val="99"/>
    <w:qFormat/>
    <w:rPr>
      <w:rFonts w:ascii="Times New Roman" w:hAnsi="Times New Roman" w:eastAsia="Calibri" w:cs="Times New Roman"/>
      <w:sz w:val="24"/>
      <w:szCs w:val="22"/>
    </w:rPr>
  </w:style>
  <w:style w:type="character" w:styleId="ListLabel1" w:customStyle="1">
    <w:name w:val="ListLabel 1"/>
    <w:qFormat/>
    <w:rPr>
      <w:rFonts w:eastAsia="Times New Roman" w:cs="Times New Roman"/>
      <w:b/>
      <w:sz w:val="22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Calibri" w:cs="Arial"/>
      <w:sz w:val="22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ascii="Arial" w:hAnsi="Arial" w:cs="Times New Roman"/>
      <w:b/>
      <w:sz w:val="24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Symbol"/>
      <w:sz w:val="22"/>
    </w:rPr>
  </w:style>
  <w:style w:type="character" w:styleId="ListLabel22" w:customStyle="1">
    <w:name w:val="ListLabel 22"/>
    <w:qFormat/>
    <w:rPr>
      <w:rFonts w:cs="Symbol"/>
      <w:sz w:val="22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Symbol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ascii="Times New Roman" w:hAnsi="Times New Roman" w:cs="Arial"/>
      <w:sz w:val="22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ascii="Arial" w:hAnsi="Arial" w:cs="Times New Roman"/>
      <w:b/>
      <w:sz w:val="24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  <w:sz w:val="22"/>
    </w:rPr>
  </w:style>
  <w:style w:type="character" w:styleId="ListLabel50" w:customStyle="1">
    <w:name w:val="ListLabel 50"/>
    <w:qFormat/>
    <w:rPr>
      <w:rFonts w:cs="Symbol"/>
      <w:sz w:val="22"/>
    </w:rPr>
  </w:style>
  <w:style w:type="character" w:styleId="ListLabel51" w:customStyle="1">
    <w:name w:val="ListLabel 51"/>
    <w:qFormat/>
    <w:rPr>
      <w:rFonts w:cs="Courier New"/>
    </w:rPr>
  </w:style>
  <w:style w:type="character" w:styleId="ListLabel52" w:customStyle="1">
    <w:name w:val="ListLabel 52"/>
    <w:qFormat/>
    <w:rPr>
      <w:rFonts w:cs="Wingdings"/>
    </w:rPr>
  </w:style>
  <w:style w:type="character" w:styleId="ListLabel53" w:customStyle="1">
    <w:name w:val="ListLabel 53"/>
    <w:qFormat/>
    <w:rPr>
      <w:rFonts w:cs="Symbol"/>
    </w:rPr>
  </w:style>
  <w:style w:type="character" w:styleId="ListLabel54" w:customStyle="1">
    <w:name w:val="ListLabel 54"/>
    <w:qFormat/>
    <w:rPr>
      <w:rFonts w:cs="Courier New"/>
    </w:rPr>
  </w:style>
  <w:style w:type="character" w:styleId="ListLabel55" w:customStyle="1">
    <w:name w:val="ListLabel 55"/>
    <w:qFormat/>
    <w:rPr>
      <w:rFonts w:cs="Wingdings"/>
    </w:rPr>
  </w:style>
  <w:style w:type="character" w:styleId="ListLabel56" w:customStyle="1">
    <w:name w:val="ListLabel 56"/>
    <w:qFormat/>
    <w:rPr>
      <w:rFonts w:cs="Symbol"/>
    </w:rPr>
  </w:style>
  <w:style w:type="character" w:styleId="ListLabel57" w:customStyle="1">
    <w:name w:val="ListLabel 57"/>
    <w:qFormat/>
    <w:rPr>
      <w:rFonts w:cs="Courier New"/>
    </w:rPr>
  </w:style>
  <w:style w:type="character" w:styleId="ListLabel58" w:customStyle="1">
    <w:name w:val="ListLabel 58"/>
    <w:qFormat/>
    <w:rPr>
      <w:rFonts w:cs="Wingdings"/>
    </w:rPr>
  </w:style>
  <w:style w:type="character" w:styleId="ListLabel59" w:customStyle="1">
    <w:name w:val="ListLabel 59"/>
    <w:qFormat/>
    <w:rPr>
      <w:rFonts w:ascii="Times New Roman" w:hAnsi="Times New Roman" w:cs="Arial"/>
      <w:sz w:val="22"/>
    </w:rPr>
  </w:style>
  <w:style w:type="character" w:styleId="ListLabel60" w:customStyle="1">
    <w:name w:val="ListLabel 60"/>
    <w:qFormat/>
    <w:rPr>
      <w:rFonts w:cs="Courier New"/>
    </w:rPr>
  </w:style>
  <w:style w:type="character" w:styleId="ListLabel61" w:customStyle="1">
    <w:name w:val="ListLabel 61"/>
    <w:qFormat/>
    <w:rPr>
      <w:rFonts w:cs="Wingdings"/>
    </w:rPr>
  </w:style>
  <w:style w:type="character" w:styleId="ListLabel62" w:customStyle="1">
    <w:name w:val="ListLabel 62"/>
    <w:qFormat/>
    <w:rPr>
      <w:rFonts w:cs="Symbol"/>
    </w:rPr>
  </w:style>
  <w:style w:type="character" w:styleId="ListLabel63" w:customStyle="1">
    <w:name w:val="ListLabel 63"/>
    <w:qFormat/>
    <w:rPr>
      <w:rFonts w:cs="Courier New"/>
    </w:rPr>
  </w:style>
  <w:style w:type="character" w:styleId="ListLabel64" w:customStyle="1">
    <w:name w:val="ListLabel 64"/>
    <w:qFormat/>
    <w:rPr>
      <w:rFonts w:cs="Wingdings"/>
    </w:rPr>
  </w:style>
  <w:style w:type="character" w:styleId="ListLabel65" w:customStyle="1">
    <w:name w:val="ListLabel 65"/>
    <w:qFormat/>
    <w:rPr>
      <w:rFonts w:cs="Symbol"/>
    </w:rPr>
  </w:style>
  <w:style w:type="character" w:styleId="ListLabel66" w:customStyle="1">
    <w:name w:val="ListLabel 66"/>
    <w:qFormat/>
    <w:rPr>
      <w:rFonts w:cs="Courier New"/>
    </w:rPr>
  </w:style>
  <w:style w:type="character" w:styleId="ListLabel67" w:customStyle="1">
    <w:name w:val="ListLabel 67"/>
    <w:qFormat/>
    <w:rPr>
      <w:rFonts w:cs="Wingdings"/>
    </w:rPr>
  </w:style>
  <w:style w:type="character" w:styleId="ListLabel68" w:customStyle="1">
    <w:name w:val="ListLabel 68"/>
    <w:qFormat/>
    <w:rPr>
      <w:rFonts w:ascii="Arial" w:hAnsi="Arial" w:cs="Times New Roman"/>
      <w:b/>
      <w:sz w:val="24"/>
    </w:rPr>
  </w:style>
  <w:style w:type="character" w:styleId="ListLabel69" w:customStyle="1">
    <w:name w:val="ListLabel 69"/>
    <w:qFormat/>
    <w:rPr>
      <w:rFonts w:cs="Courier New"/>
    </w:rPr>
  </w:style>
  <w:style w:type="character" w:styleId="ListLabel70" w:customStyle="1">
    <w:name w:val="ListLabel 70"/>
    <w:qFormat/>
    <w:rPr>
      <w:rFonts w:cs="Wingdings"/>
    </w:rPr>
  </w:style>
  <w:style w:type="character" w:styleId="ListLabel71" w:customStyle="1">
    <w:name w:val="ListLabel 71"/>
    <w:qFormat/>
    <w:rPr>
      <w:rFonts w:cs="Symbol"/>
    </w:rPr>
  </w:style>
  <w:style w:type="character" w:styleId="ListLabel72" w:customStyle="1">
    <w:name w:val="ListLabel 72"/>
    <w:qFormat/>
    <w:rPr>
      <w:rFonts w:cs="Courier New"/>
    </w:rPr>
  </w:style>
  <w:style w:type="character" w:styleId="ListLabel73" w:customStyle="1">
    <w:name w:val="ListLabel 73"/>
    <w:qFormat/>
    <w:rPr>
      <w:rFonts w:cs="Wingdings"/>
    </w:rPr>
  </w:style>
  <w:style w:type="character" w:styleId="ListLabel74" w:customStyle="1">
    <w:name w:val="ListLabel 74"/>
    <w:qFormat/>
    <w:rPr>
      <w:rFonts w:cs="Symbol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  <w:sz w:val="22"/>
    </w:rPr>
  </w:style>
  <w:style w:type="character" w:styleId="ListLabel78" w:customStyle="1">
    <w:name w:val="ListLabel 78"/>
    <w:qFormat/>
    <w:rPr>
      <w:rFonts w:cs="Symbol"/>
      <w:sz w:val="22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Wingdings"/>
    </w:rPr>
  </w:style>
  <w:style w:type="character" w:styleId="ListLabel87" w:customStyle="1">
    <w:name w:val="ListLabel 87"/>
    <w:qFormat/>
    <w:rPr>
      <w:rFonts w:ascii="Times New Roman" w:hAnsi="Times New Roman" w:cs="Arial"/>
      <w:sz w:val="22"/>
    </w:rPr>
  </w:style>
  <w:style w:type="character" w:styleId="ListLabel88" w:customStyle="1">
    <w:name w:val="ListLabel 88"/>
    <w:qFormat/>
    <w:rPr>
      <w:rFonts w:cs="Courier New"/>
    </w:rPr>
  </w:style>
  <w:style w:type="character" w:styleId="ListLabel89" w:customStyle="1">
    <w:name w:val="ListLabel 89"/>
    <w:qFormat/>
    <w:rPr>
      <w:rFonts w:cs="Wingdings"/>
    </w:rPr>
  </w:style>
  <w:style w:type="character" w:styleId="ListLabel90" w:customStyle="1">
    <w:name w:val="ListLabel 90"/>
    <w:qFormat/>
    <w:rPr>
      <w:rFonts w:cs="Symbol"/>
    </w:rPr>
  </w:style>
  <w:style w:type="character" w:styleId="ListLabel91" w:customStyle="1">
    <w:name w:val="ListLabel 91"/>
    <w:qFormat/>
    <w:rPr>
      <w:rFonts w:cs="Courier New"/>
    </w:rPr>
  </w:style>
  <w:style w:type="character" w:styleId="ListLabel92" w:customStyle="1">
    <w:name w:val="ListLabel 92"/>
    <w:qFormat/>
    <w:rPr>
      <w:rFonts w:cs="Wingdings"/>
    </w:rPr>
  </w:style>
  <w:style w:type="character" w:styleId="ListLabel93" w:customStyle="1">
    <w:name w:val="ListLabel 93"/>
    <w:qFormat/>
    <w:rPr>
      <w:rFonts w:cs="Symbol"/>
    </w:rPr>
  </w:style>
  <w:style w:type="character" w:styleId="ListLabel94" w:customStyle="1">
    <w:name w:val="ListLabel 94"/>
    <w:qFormat/>
    <w:rPr>
      <w:rFonts w:cs="Courier New"/>
    </w:rPr>
  </w:style>
  <w:style w:type="character" w:styleId="ListLabel95" w:customStyle="1">
    <w:name w:val="ListLabel 95"/>
    <w:qFormat/>
    <w:rPr>
      <w:rFonts w:cs="Wingdings"/>
    </w:rPr>
  </w:style>
  <w:style w:type="character" w:styleId="ListLabel96" w:customStyle="1">
    <w:name w:val="ListLabel 96"/>
    <w:qFormat/>
    <w:rPr>
      <w:rFonts w:ascii="Arial" w:hAnsi="Arial" w:cs="Times New Roman"/>
      <w:b/>
      <w:sz w:val="22"/>
    </w:rPr>
  </w:style>
  <w:style w:type="character" w:styleId="ListLabel97" w:customStyle="1">
    <w:name w:val="ListLabel 97"/>
    <w:qFormat/>
    <w:rPr>
      <w:rFonts w:cs="Courier New"/>
    </w:rPr>
  </w:style>
  <w:style w:type="character" w:styleId="ListLabel98" w:customStyle="1">
    <w:name w:val="ListLabel 98"/>
    <w:qFormat/>
    <w:rPr>
      <w:rFonts w:cs="Wingdings"/>
    </w:rPr>
  </w:style>
  <w:style w:type="character" w:styleId="ListLabel99" w:customStyle="1">
    <w:name w:val="ListLabel 99"/>
    <w:qFormat/>
    <w:rPr>
      <w:rFonts w:cs="Symbol"/>
    </w:rPr>
  </w:style>
  <w:style w:type="character" w:styleId="ListLabel100" w:customStyle="1">
    <w:name w:val="ListLabel 100"/>
    <w:qFormat/>
    <w:rPr>
      <w:rFonts w:cs="Courier New"/>
    </w:rPr>
  </w:style>
  <w:style w:type="character" w:styleId="ListLabel101" w:customStyle="1">
    <w:name w:val="ListLabel 101"/>
    <w:qFormat/>
    <w:rPr>
      <w:rFonts w:cs="Wingdings"/>
    </w:rPr>
  </w:style>
  <w:style w:type="character" w:styleId="ListLabel102" w:customStyle="1">
    <w:name w:val="ListLabel 102"/>
    <w:qFormat/>
    <w:rPr>
      <w:rFonts w:cs="Symbol"/>
    </w:rPr>
  </w:style>
  <w:style w:type="character" w:styleId="ListLabel103" w:customStyle="1">
    <w:name w:val="ListLabel 103"/>
    <w:qFormat/>
    <w:rPr>
      <w:rFonts w:cs="Courier New"/>
    </w:rPr>
  </w:style>
  <w:style w:type="character" w:styleId="ListLabel104" w:customStyle="1">
    <w:name w:val="ListLabel 104"/>
    <w:qFormat/>
    <w:rPr>
      <w:rFonts w:cs="Wingdings"/>
    </w:rPr>
  </w:style>
  <w:style w:type="character" w:styleId="ListLabel105" w:customStyle="1">
    <w:name w:val="ListLabel 105"/>
    <w:qFormat/>
    <w:rPr>
      <w:rFonts w:cs="Symbol"/>
      <w:sz w:val="22"/>
    </w:rPr>
  </w:style>
  <w:style w:type="character" w:styleId="ListLabel106" w:customStyle="1">
    <w:name w:val="ListLabel 106"/>
    <w:qFormat/>
    <w:rPr>
      <w:rFonts w:cs="Symbol"/>
      <w:sz w:val="22"/>
    </w:rPr>
  </w:style>
  <w:style w:type="character" w:styleId="ListLabel107" w:customStyle="1">
    <w:name w:val="ListLabel 107"/>
    <w:qFormat/>
    <w:rPr>
      <w:rFonts w:cs="Courier New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Courier New"/>
    </w:rPr>
  </w:style>
  <w:style w:type="character" w:styleId="ListLabel111" w:customStyle="1">
    <w:name w:val="ListLabel 111"/>
    <w:qFormat/>
    <w:rPr>
      <w:rFonts w:cs="Wingdings"/>
    </w:rPr>
  </w:style>
  <w:style w:type="character" w:styleId="ListLabel112" w:customStyle="1">
    <w:name w:val="ListLabel 112"/>
    <w:qFormat/>
    <w:rPr>
      <w:rFonts w:cs="Symbol"/>
    </w:rPr>
  </w:style>
  <w:style w:type="character" w:styleId="ListLabel113" w:customStyle="1">
    <w:name w:val="ListLabel 113"/>
    <w:qFormat/>
    <w:rPr>
      <w:rFonts w:cs="Courier New"/>
    </w:rPr>
  </w:style>
  <w:style w:type="character" w:styleId="ListLabel114" w:customStyle="1">
    <w:name w:val="ListLabel 114"/>
    <w:qFormat/>
    <w:rPr>
      <w:rFonts w:cs="Wingdings"/>
    </w:rPr>
  </w:style>
  <w:style w:type="character" w:styleId="ListLabel115" w:customStyle="1">
    <w:name w:val="ListLabel 115"/>
    <w:qFormat/>
    <w:rPr>
      <w:rFonts w:cs="Arial"/>
      <w:sz w:val="22"/>
    </w:rPr>
  </w:style>
  <w:style w:type="character" w:styleId="ListLabel116" w:customStyle="1">
    <w:name w:val="ListLabel 116"/>
    <w:qFormat/>
    <w:rPr>
      <w:rFonts w:cs="Courier New"/>
    </w:rPr>
  </w:style>
  <w:style w:type="character" w:styleId="ListLabel117" w:customStyle="1">
    <w:name w:val="ListLabel 117"/>
    <w:qFormat/>
    <w:rPr>
      <w:rFonts w:cs="Wingdings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Courier New"/>
    </w:rPr>
  </w:style>
  <w:style w:type="character" w:styleId="ListLabel120" w:customStyle="1">
    <w:name w:val="ListLabel 120"/>
    <w:qFormat/>
    <w:rPr>
      <w:rFonts w:cs="Wingdings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Courier New"/>
    </w:rPr>
  </w:style>
  <w:style w:type="character" w:styleId="ListLabel123" w:customStyle="1">
    <w:name w:val="ListLabel 123"/>
    <w:qFormat/>
    <w:rPr>
      <w:rFonts w:cs="Wingdings"/>
    </w:rPr>
  </w:style>
  <w:style w:type="character" w:styleId="ListLabel124" w:customStyle="1">
    <w:name w:val="ListLabel 124"/>
    <w:qFormat/>
    <w:rPr>
      <w:rFonts w:ascii="Arial" w:hAnsi="Arial" w:cs="Times New Roman"/>
      <w:b/>
      <w:sz w:val="22"/>
    </w:rPr>
  </w:style>
  <w:style w:type="character" w:styleId="ListLabel125" w:customStyle="1">
    <w:name w:val="ListLabel 125"/>
    <w:qFormat/>
    <w:rPr>
      <w:rFonts w:cs="Courier New"/>
    </w:rPr>
  </w:style>
  <w:style w:type="character" w:styleId="ListLabel126" w:customStyle="1">
    <w:name w:val="ListLabel 126"/>
    <w:qFormat/>
    <w:rPr>
      <w:rFonts w:cs="Wingdings"/>
    </w:rPr>
  </w:style>
  <w:style w:type="character" w:styleId="ListLabel127" w:customStyle="1">
    <w:name w:val="ListLabel 127"/>
    <w:qFormat/>
    <w:rPr>
      <w:rFonts w:cs="Symbol"/>
    </w:rPr>
  </w:style>
  <w:style w:type="character" w:styleId="ListLabel128" w:customStyle="1">
    <w:name w:val="ListLabel 128"/>
    <w:qFormat/>
    <w:rPr>
      <w:rFonts w:cs="Courier New"/>
    </w:rPr>
  </w:style>
  <w:style w:type="character" w:styleId="ListLabel129" w:customStyle="1">
    <w:name w:val="ListLabel 129"/>
    <w:qFormat/>
    <w:rPr>
      <w:rFonts w:cs="Wingdings"/>
    </w:rPr>
  </w:style>
  <w:style w:type="character" w:styleId="ListLabel130" w:customStyle="1">
    <w:name w:val="ListLabel 130"/>
    <w:qFormat/>
    <w:rPr>
      <w:rFonts w:cs="Symbol"/>
    </w:rPr>
  </w:style>
  <w:style w:type="character" w:styleId="ListLabel131" w:customStyle="1">
    <w:name w:val="ListLabel 131"/>
    <w:qFormat/>
    <w:rPr>
      <w:rFonts w:cs="Courier New"/>
    </w:rPr>
  </w:style>
  <w:style w:type="character" w:styleId="ListLabel132" w:customStyle="1">
    <w:name w:val="ListLabel 132"/>
    <w:qFormat/>
    <w:rPr>
      <w:rFonts w:cs="Wingdings"/>
    </w:rPr>
  </w:style>
  <w:style w:type="character" w:styleId="ListLabel133" w:customStyle="1">
    <w:name w:val="ListLabel 133"/>
    <w:qFormat/>
    <w:rPr>
      <w:rFonts w:cs="Symbol"/>
      <w:sz w:val="22"/>
    </w:rPr>
  </w:style>
  <w:style w:type="character" w:styleId="ListLabel134" w:customStyle="1">
    <w:name w:val="ListLabel 134"/>
    <w:qFormat/>
    <w:rPr>
      <w:rFonts w:cs="Symbol"/>
      <w:sz w:val="22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rFonts w:cs="Symbol"/>
    </w:rPr>
  </w:style>
  <w:style w:type="character" w:styleId="ListLabel141" w:customStyle="1">
    <w:name w:val="ListLabel 141"/>
    <w:qFormat/>
    <w:rPr>
      <w:rFonts w:cs="Courier New"/>
    </w:rPr>
  </w:style>
  <w:style w:type="character" w:styleId="ListLabel142" w:customStyle="1">
    <w:name w:val="ListLabel 142"/>
    <w:qFormat/>
    <w:rPr>
      <w:rFonts w:cs="Wingdings"/>
    </w:rPr>
  </w:style>
  <w:style w:type="character" w:styleId="ListLabel143" w:customStyle="1">
    <w:name w:val="ListLabel 143"/>
    <w:qFormat/>
    <w:rPr>
      <w:rFonts w:ascii="Times New Roman" w:hAnsi="Times New Roman" w:cs="Arial"/>
      <w:sz w:val="22"/>
    </w:rPr>
  </w:style>
  <w:style w:type="character" w:styleId="ListLabel144" w:customStyle="1">
    <w:name w:val="ListLabel 144"/>
    <w:qFormat/>
    <w:rPr>
      <w:rFonts w:cs="Courier New"/>
    </w:rPr>
  </w:style>
  <w:style w:type="character" w:styleId="ListLabel145" w:customStyle="1">
    <w:name w:val="ListLabel 145"/>
    <w:qFormat/>
    <w:rPr>
      <w:rFonts w:cs="Wingdings"/>
    </w:rPr>
  </w:style>
  <w:style w:type="character" w:styleId="ListLabel146" w:customStyle="1">
    <w:name w:val="ListLabel 146"/>
    <w:qFormat/>
    <w:rPr>
      <w:rFonts w:cs="Symbol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Symbol"/>
    </w:rPr>
  </w:style>
  <w:style w:type="character" w:styleId="ListLabel150" w:customStyle="1">
    <w:name w:val="ListLabel 150"/>
    <w:qFormat/>
    <w:rPr>
      <w:rFonts w:cs="Courier New"/>
    </w:rPr>
  </w:style>
  <w:style w:type="character" w:styleId="ListLabel151" w:customStyle="1">
    <w:name w:val="ListLabel 151"/>
    <w:qFormat/>
    <w:rPr>
      <w:rFonts w:cs="Wingdings"/>
    </w:rPr>
  </w:style>
  <w:style w:type="character" w:styleId="ListLabel152" w:customStyle="1">
    <w:name w:val="ListLabel 152"/>
    <w:qFormat/>
    <w:rPr>
      <w:rFonts w:ascii="Arial" w:hAnsi="Arial" w:cs="Times New Roman"/>
      <w:b/>
      <w:sz w:val="22"/>
    </w:rPr>
  </w:style>
  <w:style w:type="character" w:styleId="ListLabel153" w:customStyle="1">
    <w:name w:val="ListLabel 153"/>
    <w:qFormat/>
    <w:rPr>
      <w:rFonts w:cs="Courier New"/>
    </w:rPr>
  </w:style>
  <w:style w:type="character" w:styleId="ListLabel154" w:customStyle="1">
    <w:name w:val="ListLabel 154"/>
    <w:qFormat/>
    <w:rPr>
      <w:rFonts w:cs="Wingdings"/>
    </w:rPr>
  </w:style>
  <w:style w:type="character" w:styleId="ListLabel155" w:customStyle="1">
    <w:name w:val="ListLabel 155"/>
    <w:qFormat/>
    <w:rPr>
      <w:rFonts w:cs="Symbol"/>
    </w:rPr>
  </w:style>
  <w:style w:type="character" w:styleId="ListLabel156" w:customStyle="1">
    <w:name w:val="ListLabel 156"/>
    <w:qFormat/>
    <w:rPr>
      <w:rFonts w:cs="Courier New"/>
    </w:rPr>
  </w:style>
  <w:style w:type="character" w:styleId="ListLabel157" w:customStyle="1">
    <w:name w:val="ListLabel 157"/>
    <w:qFormat/>
    <w:rPr>
      <w:rFonts w:cs="Wingdings"/>
    </w:rPr>
  </w:style>
  <w:style w:type="character" w:styleId="ListLabel158" w:customStyle="1">
    <w:name w:val="ListLabel 158"/>
    <w:qFormat/>
    <w:rPr>
      <w:rFonts w:cs="Symbol"/>
    </w:rPr>
  </w:style>
  <w:style w:type="character" w:styleId="ListLabel159" w:customStyle="1">
    <w:name w:val="ListLabel 159"/>
    <w:qFormat/>
    <w:rPr>
      <w:rFonts w:cs="Courier New"/>
    </w:rPr>
  </w:style>
  <w:style w:type="character" w:styleId="ListLabel160" w:customStyle="1">
    <w:name w:val="ListLabel 160"/>
    <w:qFormat/>
    <w:rPr>
      <w:rFonts w:cs="Wingdings"/>
    </w:rPr>
  </w:style>
  <w:style w:type="character" w:styleId="ListLabel161" w:customStyle="1">
    <w:name w:val="ListLabel 161"/>
    <w:qFormat/>
    <w:rPr>
      <w:rFonts w:cs="Symbol"/>
      <w:sz w:val="22"/>
    </w:rPr>
  </w:style>
  <w:style w:type="character" w:styleId="ListLabel162" w:customStyle="1">
    <w:name w:val="ListLabel 162"/>
    <w:qFormat/>
    <w:rPr>
      <w:rFonts w:cs="Symbol"/>
      <w:sz w:val="22"/>
    </w:rPr>
  </w:style>
  <w:style w:type="character" w:styleId="ListLabel163" w:customStyle="1">
    <w:name w:val="ListLabel 163"/>
    <w:qFormat/>
    <w:rPr>
      <w:rFonts w:cs="Courier New"/>
    </w:rPr>
  </w:style>
  <w:style w:type="character" w:styleId="ListLabel164" w:customStyle="1">
    <w:name w:val="ListLabel 164"/>
    <w:qFormat/>
    <w:rPr>
      <w:rFonts w:cs="Wingdings"/>
    </w:rPr>
  </w:style>
  <w:style w:type="character" w:styleId="ListLabel165" w:customStyle="1">
    <w:name w:val="ListLabel 165"/>
    <w:qFormat/>
    <w:rPr>
      <w:rFonts w:cs="Symbol"/>
    </w:rPr>
  </w:style>
  <w:style w:type="character" w:styleId="ListLabel166" w:customStyle="1">
    <w:name w:val="ListLabel 166"/>
    <w:qFormat/>
    <w:rPr>
      <w:rFonts w:cs="Courier New"/>
    </w:rPr>
  </w:style>
  <w:style w:type="character" w:styleId="ListLabel167" w:customStyle="1">
    <w:name w:val="ListLabel 167"/>
    <w:qFormat/>
    <w:rPr>
      <w:rFonts w:cs="Wingdings"/>
    </w:rPr>
  </w:style>
  <w:style w:type="character" w:styleId="ListLabel168" w:customStyle="1">
    <w:name w:val="ListLabel 168"/>
    <w:qFormat/>
    <w:rPr>
      <w:rFonts w:cs="Symbol"/>
    </w:rPr>
  </w:style>
  <w:style w:type="character" w:styleId="ListLabel169" w:customStyle="1">
    <w:name w:val="ListLabel 169"/>
    <w:qFormat/>
    <w:rPr>
      <w:rFonts w:cs="Courier New"/>
    </w:rPr>
  </w:style>
  <w:style w:type="character" w:styleId="ListLabel170" w:customStyle="1">
    <w:name w:val="ListLabel 170"/>
    <w:qFormat/>
    <w:rPr>
      <w:rFonts w:cs="Wingdings"/>
    </w:rPr>
  </w:style>
  <w:style w:type="character" w:styleId="ListLabel171" w:customStyle="1">
    <w:name w:val="ListLabel 171"/>
    <w:qFormat/>
    <w:rPr>
      <w:rFonts w:ascii="Times New Roman" w:hAnsi="Times New Roman" w:cs="Arial"/>
      <w:sz w:val="22"/>
    </w:rPr>
  </w:style>
  <w:style w:type="character" w:styleId="ListLabel172" w:customStyle="1">
    <w:name w:val="ListLabel 172"/>
    <w:qFormat/>
    <w:rPr>
      <w:rFonts w:cs="Courier New"/>
    </w:rPr>
  </w:style>
  <w:style w:type="character" w:styleId="ListLabel173" w:customStyle="1">
    <w:name w:val="ListLabel 173"/>
    <w:qFormat/>
    <w:rPr>
      <w:rFonts w:cs="Wingdings"/>
    </w:rPr>
  </w:style>
  <w:style w:type="character" w:styleId="ListLabel174" w:customStyle="1">
    <w:name w:val="ListLabel 174"/>
    <w:qFormat/>
    <w:rPr>
      <w:rFonts w:cs="Symbol"/>
    </w:rPr>
  </w:style>
  <w:style w:type="character" w:styleId="ListLabel175" w:customStyle="1">
    <w:name w:val="ListLabel 175"/>
    <w:qFormat/>
    <w:rPr>
      <w:rFonts w:cs="Courier New"/>
    </w:rPr>
  </w:style>
  <w:style w:type="character" w:styleId="ListLabel176" w:customStyle="1">
    <w:name w:val="ListLabel 176"/>
    <w:qFormat/>
    <w:rPr>
      <w:rFonts w:cs="Wingdings"/>
    </w:rPr>
  </w:style>
  <w:style w:type="character" w:styleId="ListLabel177" w:customStyle="1">
    <w:name w:val="ListLabel 177"/>
    <w:qFormat/>
    <w:rPr>
      <w:rFonts w:cs="Symbol"/>
    </w:rPr>
  </w:style>
  <w:style w:type="character" w:styleId="ListLabel178" w:customStyle="1">
    <w:name w:val="ListLabel 178"/>
    <w:qFormat/>
    <w:rPr>
      <w:rFonts w:cs="Courier New"/>
    </w:rPr>
  </w:style>
  <w:style w:type="character" w:styleId="ListLabel179" w:customStyle="1">
    <w:name w:val="ListLabel 179"/>
    <w:qFormat/>
    <w:rPr>
      <w:rFonts w:cs="Wingdings"/>
    </w:rPr>
  </w:style>
  <w:style w:type="character" w:styleId="ListLabel180" w:customStyle="1">
    <w:name w:val="ListLabel 180"/>
    <w:qFormat/>
    <w:rPr>
      <w:rFonts w:ascii="Arial" w:hAnsi="Arial" w:cs="Times New Roman"/>
      <w:b/>
      <w:sz w:val="22"/>
    </w:rPr>
  </w:style>
  <w:style w:type="character" w:styleId="ListLabel181" w:customStyle="1">
    <w:name w:val="ListLabel 181"/>
    <w:qFormat/>
    <w:rPr>
      <w:rFonts w:cs="Courier New"/>
    </w:rPr>
  </w:style>
  <w:style w:type="character" w:styleId="ListLabel182" w:customStyle="1">
    <w:name w:val="ListLabel 182"/>
    <w:qFormat/>
    <w:rPr>
      <w:rFonts w:cs="Wingdings"/>
    </w:rPr>
  </w:style>
  <w:style w:type="character" w:styleId="ListLabel183" w:customStyle="1">
    <w:name w:val="ListLabel 183"/>
    <w:qFormat/>
    <w:rPr>
      <w:rFonts w:cs="Symbol"/>
    </w:rPr>
  </w:style>
  <w:style w:type="character" w:styleId="ListLabel184" w:customStyle="1">
    <w:name w:val="ListLabel 184"/>
    <w:qFormat/>
    <w:rPr>
      <w:rFonts w:cs="Courier New"/>
    </w:rPr>
  </w:style>
  <w:style w:type="character" w:styleId="ListLabel185" w:customStyle="1">
    <w:name w:val="ListLabel 185"/>
    <w:qFormat/>
    <w:rPr>
      <w:rFonts w:cs="Wingdings"/>
    </w:rPr>
  </w:style>
  <w:style w:type="character" w:styleId="ListLabel186" w:customStyle="1">
    <w:name w:val="ListLabel 186"/>
    <w:qFormat/>
    <w:rPr>
      <w:rFonts w:cs="Symbol"/>
    </w:rPr>
  </w:style>
  <w:style w:type="character" w:styleId="ListLabel187" w:customStyle="1">
    <w:name w:val="ListLabel 187"/>
    <w:qFormat/>
    <w:rPr>
      <w:rFonts w:cs="Courier New"/>
    </w:rPr>
  </w:style>
  <w:style w:type="character" w:styleId="ListLabel188" w:customStyle="1">
    <w:name w:val="ListLabel 188"/>
    <w:qFormat/>
    <w:rPr>
      <w:rFonts w:cs="Wingdings"/>
    </w:rPr>
  </w:style>
  <w:style w:type="character" w:styleId="ListLabel189" w:customStyle="1">
    <w:name w:val="ListLabel 189"/>
    <w:qFormat/>
    <w:rPr>
      <w:rFonts w:cs="Symbol"/>
      <w:sz w:val="22"/>
    </w:rPr>
  </w:style>
  <w:style w:type="character" w:styleId="ListLabel190" w:customStyle="1">
    <w:name w:val="ListLabel 190"/>
    <w:qFormat/>
    <w:rPr>
      <w:rFonts w:cs="Symbol"/>
      <w:sz w:val="22"/>
    </w:rPr>
  </w:style>
  <w:style w:type="character" w:styleId="ListLabel191" w:customStyle="1">
    <w:name w:val="ListLabel 191"/>
    <w:qFormat/>
    <w:rPr>
      <w:rFonts w:cs="Courier New"/>
    </w:rPr>
  </w:style>
  <w:style w:type="character" w:styleId="ListLabel192" w:customStyle="1">
    <w:name w:val="ListLabel 192"/>
    <w:qFormat/>
    <w:rPr>
      <w:rFonts w:cs="Wingdings"/>
    </w:rPr>
  </w:style>
  <w:style w:type="character" w:styleId="ListLabel193" w:customStyle="1">
    <w:name w:val="ListLabel 193"/>
    <w:qFormat/>
    <w:rPr>
      <w:rFonts w:cs="Symbol"/>
    </w:rPr>
  </w:style>
  <w:style w:type="character" w:styleId="ListLabel194" w:customStyle="1">
    <w:name w:val="ListLabel 194"/>
    <w:qFormat/>
    <w:rPr>
      <w:rFonts w:cs="Courier New"/>
    </w:rPr>
  </w:style>
  <w:style w:type="character" w:styleId="ListLabel195" w:customStyle="1">
    <w:name w:val="ListLabel 195"/>
    <w:qFormat/>
    <w:rPr>
      <w:rFonts w:cs="Wingdings"/>
    </w:rPr>
  </w:style>
  <w:style w:type="character" w:styleId="ListLabel196" w:customStyle="1">
    <w:name w:val="ListLabel 196"/>
    <w:qFormat/>
    <w:rPr>
      <w:rFonts w:cs="Symbol"/>
    </w:rPr>
  </w:style>
  <w:style w:type="character" w:styleId="ListLabel197" w:customStyle="1">
    <w:name w:val="ListLabel 197"/>
    <w:qFormat/>
    <w:rPr>
      <w:rFonts w:cs="Courier New"/>
    </w:rPr>
  </w:style>
  <w:style w:type="character" w:styleId="ListLabel198" w:customStyle="1">
    <w:name w:val="ListLabel 198"/>
    <w:qFormat/>
    <w:rPr>
      <w:rFonts w:cs="Wingdings"/>
    </w:rPr>
  </w:style>
  <w:style w:type="character" w:styleId="ListLabel199" w:customStyle="1">
    <w:name w:val="ListLabel 199"/>
    <w:qFormat/>
    <w:rPr>
      <w:rFonts w:cs="Arial"/>
      <w:sz w:val="22"/>
    </w:rPr>
  </w:style>
  <w:style w:type="character" w:styleId="ListLabel200" w:customStyle="1">
    <w:name w:val="ListLabel 200"/>
    <w:qFormat/>
    <w:rPr>
      <w:rFonts w:cs="Courier New"/>
    </w:rPr>
  </w:style>
  <w:style w:type="character" w:styleId="ListLabel201" w:customStyle="1">
    <w:name w:val="ListLabel 201"/>
    <w:qFormat/>
    <w:rPr>
      <w:rFonts w:cs="Wingdings"/>
    </w:rPr>
  </w:style>
  <w:style w:type="character" w:styleId="ListLabel202" w:customStyle="1">
    <w:name w:val="ListLabel 202"/>
    <w:qFormat/>
    <w:rPr>
      <w:rFonts w:cs="Symbol"/>
    </w:rPr>
  </w:style>
  <w:style w:type="character" w:styleId="ListLabel203" w:customStyle="1">
    <w:name w:val="ListLabel 203"/>
    <w:qFormat/>
    <w:rPr>
      <w:rFonts w:cs="Courier New"/>
    </w:rPr>
  </w:style>
  <w:style w:type="character" w:styleId="ListLabel204" w:customStyle="1">
    <w:name w:val="ListLabel 204"/>
    <w:qFormat/>
    <w:rPr>
      <w:rFonts w:cs="Wingdings"/>
    </w:rPr>
  </w:style>
  <w:style w:type="character" w:styleId="ListLabel205" w:customStyle="1">
    <w:name w:val="ListLabel 205"/>
    <w:qFormat/>
    <w:rPr>
      <w:rFonts w:cs="Symbol"/>
    </w:rPr>
  </w:style>
  <w:style w:type="character" w:styleId="ListLabel206" w:customStyle="1">
    <w:name w:val="ListLabel 206"/>
    <w:qFormat/>
    <w:rPr>
      <w:rFonts w:cs="Courier New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rFonts w:ascii="Arial" w:hAnsi="Arial" w:cs="Times New Roman"/>
      <w:b/>
      <w:sz w:val="24"/>
    </w:rPr>
  </w:style>
  <w:style w:type="character" w:styleId="ListLabel209" w:customStyle="1">
    <w:name w:val="ListLabel 209"/>
    <w:qFormat/>
    <w:rPr>
      <w:rFonts w:cs="Courier New"/>
    </w:rPr>
  </w:style>
  <w:style w:type="character" w:styleId="ListLabel210" w:customStyle="1">
    <w:name w:val="ListLabel 210"/>
    <w:qFormat/>
    <w:rPr>
      <w:rFonts w:cs="Wingdings"/>
    </w:rPr>
  </w:style>
  <w:style w:type="character" w:styleId="ListLabel211" w:customStyle="1">
    <w:name w:val="ListLabel 211"/>
    <w:qFormat/>
    <w:rPr>
      <w:rFonts w:cs="Symbol"/>
    </w:rPr>
  </w:style>
  <w:style w:type="character" w:styleId="ListLabel212" w:customStyle="1">
    <w:name w:val="ListLabel 212"/>
    <w:qFormat/>
    <w:rPr>
      <w:rFonts w:cs="Courier New"/>
    </w:rPr>
  </w:style>
  <w:style w:type="character" w:styleId="ListLabel213" w:customStyle="1">
    <w:name w:val="ListLabel 213"/>
    <w:qFormat/>
    <w:rPr>
      <w:rFonts w:cs="Wingdings"/>
    </w:rPr>
  </w:style>
  <w:style w:type="character" w:styleId="ListLabel214" w:customStyle="1">
    <w:name w:val="ListLabel 214"/>
    <w:qFormat/>
    <w:rPr>
      <w:rFonts w:cs="Symbol"/>
    </w:rPr>
  </w:style>
  <w:style w:type="character" w:styleId="ListLabel215" w:customStyle="1">
    <w:name w:val="ListLabel 215"/>
    <w:qFormat/>
    <w:rPr>
      <w:rFonts w:cs="Courier New"/>
    </w:rPr>
  </w:style>
  <w:style w:type="character" w:styleId="ListLabel216" w:customStyle="1">
    <w:name w:val="ListLabel 216"/>
    <w:qFormat/>
    <w:rPr>
      <w:rFonts w:cs="Wingdings"/>
    </w:rPr>
  </w:style>
  <w:style w:type="character" w:styleId="ListLabel217" w:customStyle="1">
    <w:name w:val="ListLabel 217"/>
    <w:qFormat/>
    <w:rPr>
      <w:rFonts w:cs="Symbol"/>
      <w:sz w:val="22"/>
    </w:rPr>
  </w:style>
  <w:style w:type="character" w:styleId="ListLabel218" w:customStyle="1">
    <w:name w:val="ListLabel 218"/>
    <w:qFormat/>
    <w:rPr>
      <w:rFonts w:cs="Courier New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cs="Symbol"/>
    </w:rPr>
  </w:style>
  <w:style w:type="character" w:styleId="ListLabel221" w:customStyle="1">
    <w:name w:val="ListLabel 221"/>
    <w:qFormat/>
    <w:rPr>
      <w:rFonts w:cs="Courier New"/>
    </w:rPr>
  </w:style>
  <w:style w:type="character" w:styleId="ListLabel222" w:customStyle="1">
    <w:name w:val="ListLabel 222"/>
    <w:qFormat/>
    <w:rPr>
      <w:rFonts w:cs="Wingdings"/>
    </w:rPr>
  </w:style>
  <w:style w:type="character" w:styleId="ListLabel223" w:customStyle="1">
    <w:name w:val="ListLabel 223"/>
    <w:qFormat/>
    <w:rPr>
      <w:rFonts w:cs="Symbol"/>
    </w:rPr>
  </w:style>
  <w:style w:type="character" w:styleId="ListLabel224" w:customStyle="1">
    <w:name w:val="ListLabel 224"/>
    <w:qFormat/>
    <w:rPr>
      <w:rFonts w:cs="Courier New"/>
    </w:rPr>
  </w:style>
  <w:style w:type="character" w:styleId="ListLabel225" w:customStyle="1">
    <w:name w:val="ListLabel 225"/>
    <w:qFormat/>
    <w:rPr>
      <w:rFonts w:cs="Wingdings"/>
    </w:rPr>
  </w:style>
  <w:style w:type="character" w:styleId="ListLabel226">
    <w:name w:val="ListLabel 226"/>
    <w:qFormat/>
    <w:rPr>
      <w:rFonts w:ascii="Arial" w:hAnsi="Arial" w:cs="Times New Roman"/>
      <w:b/>
      <w:sz w:val="22"/>
    </w:rPr>
  </w:style>
  <w:style w:type="character" w:styleId="ListLabel227">
    <w:name w:val="ListLabel 227"/>
    <w:qFormat/>
    <w:rPr>
      <w:rFonts w:cs="Courier New"/>
    </w:rPr>
  </w:style>
  <w:style w:type="character" w:styleId="ListLabel228">
    <w:name w:val="ListLabel 228"/>
    <w:qFormat/>
    <w:rPr>
      <w:rFonts w:cs="Wingdings"/>
    </w:rPr>
  </w:style>
  <w:style w:type="character" w:styleId="ListLabel229">
    <w:name w:val="ListLabel 229"/>
    <w:qFormat/>
    <w:rPr>
      <w:rFonts w:cs="Symbol"/>
    </w:rPr>
  </w:style>
  <w:style w:type="character" w:styleId="ListLabel230">
    <w:name w:val="ListLabel 230"/>
    <w:qFormat/>
    <w:rPr>
      <w:rFonts w:cs="Courier New"/>
    </w:rPr>
  </w:style>
  <w:style w:type="character" w:styleId="ListLabel231">
    <w:name w:val="ListLabel 231"/>
    <w:qFormat/>
    <w:rPr>
      <w:rFonts w:cs="Wingdings"/>
    </w:rPr>
  </w:style>
  <w:style w:type="character" w:styleId="ListLabel232">
    <w:name w:val="ListLabel 232"/>
    <w:qFormat/>
    <w:rPr>
      <w:rFonts w:cs="Symbol"/>
    </w:rPr>
  </w:style>
  <w:style w:type="character" w:styleId="ListLabel233">
    <w:name w:val="ListLabel 233"/>
    <w:qFormat/>
    <w:rPr>
      <w:rFonts w:cs="Courier New"/>
    </w:rPr>
  </w:style>
  <w:style w:type="character" w:styleId="ListLabel234">
    <w:name w:val="ListLabel 234"/>
    <w:qFormat/>
    <w:rPr>
      <w:rFonts w:cs="Wingdings"/>
    </w:rPr>
  </w:style>
  <w:style w:type="character" w:styleId="ListLabel235">
    <w:name w:val="ListLabel 235"/>
    <w:qFormat/>
    <w:rPr>
      <w:rFonts w:cs="Symbol"/>
      <w:sz w:val="22"/>
    </w:rPr>
  </w:style>
  <w:style w:type="character" w:styleId="ListLabel236">
    <w:name w:val="ListLabel 236"/>
    <w:qFormat/>
    <w:rPr>
      <w:rFonts w:cs="Arial"/>
      <w:sz w:val="22"/>
    </w:rPr>
  </w:style>
  <w:style w:type="character" w:styleId="ListLabel237">
    <w:name w:val="ListLabel 237"/>
    <w:qFormat/>
    <w:rPr>
      <w:rFonts w:cs="Courier New"/>
    </w:rPr>
  </w:style>
  <w:style w:type="character" w:styleId="ListLabel238">
    <w:name w:val="ListLabel 238"/>
    <w:qFormat/>
    <w:rPr>
      <w:rFonts w:cs="Wingdings"/>
    </w:rPr>
  </w:style>
  <w:style w:type="character" w:styleId="ListLabel239">
    <w:name w:val="ListLabel 239"/>
    <w:qFormat/>
    <w:rPr>
      <w:rFonts w:cs="Symbol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cs="Wingdings"/>
    </w:rPr>
  </w:style>
  <w:style w:type="character" w:styleId="ListLabel242">
    <w:name w:val="ListLabel 242"/>
    <w:qFormat/>
    <w:rPr>
      <w:rFonts w:cs="Symbol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Wingdings"/>
    </w:rPr>
  </w:style>
  <w:style w:type="character" w:styleId="ListLabel245">
    <w:name w:val="ListLabel 245"/>
    <w:qFormat/>
    <w:rPr>
      <w:rFonts w:ascii="Arial" w:hAnsi="Arial" w:cs="Times New Roman"/>
      <w:b/>
      <w:sz w:val="24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Wingdings"/>
    </w:rPr>
  </w:style>
  <w:style w:type="character" w:styleId="ListLabel248">
    <w:name w:val="ListLabel 248"/>
    <w:qFormat/>
    <w:rPr>
      <w:rFonts w:cs="Symbol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Wingdings"/>
    </w:rPr>
  </w:style>
  <w:style w:type="character" w:styleId="ListLabel251">
    <w:name w:val="ListLabel 251"/>
    <w:qFormat/>
    <w:rPr>
      <w:rFonts w:cs="Symbol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ascii="Arial" w:hAnsi="Arial" w:cs="Times New Roman"/>
      <w:b/>
      <w:sz w:val="22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ListLabel260">
    <w:name w:val="ListLabel 260"/>
    <w:qFormat/>
    <w:rPr>
      <w:rFonts w:cs="Symbol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  <w:sz w:val="22"/>
    </w:rPr>
  </w:style>
  <w:style w:type="character" w:styleId="ListLabel264">
    <w:name w:val="ListLabel 264"/>
    <w:qFormat/>
    <w:rPr>
      <w:rFonts w:ascii="Times New Roman" w:hAnsi="Times New Roman" w:cs="Arial"/>
      <w:sz w:val="22"/>
    </w:rPr>
  </w:style>
  <w:style w:type="character" w:styleId="ListLabel265">
    <w:name w:val="ListLabel 265"/>
    <w:qFormat/>
    <w:rPr>
      <w:rFonts w:cs="Courier New"/>
    </w:rPr>
  </w:style>
  <w:style w:type="character" w:styleId="ListLabel266">
    <w:name w:val="ListLabel 266"/>
    <w:qFormat/>
    <w:rPr>
      <w:rFonts w:cs="Wingdings"/>
    </w:rPr>
  </w:style>
  <w:style w:type="character" w:styleId="ListLabel267">
    <w:name w:val="ListLabel 267"/>
    <w:qFormat/>
    <w:rPr>
      <w:rFonts w:cs="Symbol"/>
    </w:rPr>
  </w:style>
  <w:style w:type="character" w:styleId="ListLabel268">
    <w:name w:val="ListLabel 268"/>
    <w:qFormat/>
    <w:rPr>
      <w:rFonts w:cs="Courier New"/>
    </w:rPr>
  </w:style>
  <w:style w:type="character" w:styleId="ListLabel269">
    <w:name w:val="ListLabel 269"/>
    <w:qFormat/>
    <w:rPr>
      <w:rFonts w:cs="Wingdings"/>
    </w:rPr>
  </w:style>
  <w:style w:type="character" w:styleId="ListLabel270">
    <w:name w:val="ListLabel 270"/>
    <w:qFormat/>
    <w:rPr>
      <w:rFonts w:cs="Symbol"/>
    </w:rPr>
  </w:style>
  <w:style w:type="character" w:styleId="ListLabel271">
    <w:name w:val="ListLabel 271"/>
    <w:qFormat/>
    <w:rPr>
      <w:rFonts w:cs="Courier New"/>
    </w:rPr>
  </w:style>
  <w:style w:type="character" w:styleId="ListLabel272">
    <w:name w:val="ListLabel 272"/>
    <w:qFormat/>
    <w:rPr>
      <w:rFonts w:cs="Wingdings"/>
    </w:rPr>
  </w:style>
  <w:style w:type="character" w:styleId="ListLabel273">
    <w:name w:val="ListLabel 273"/>
    <w:qFormat/>
    <w:rPr>
      <w:rFonts w:ascii="Arial" w:hAnsi="Arial" w:cs="Times New Roman"/>
      <w:b/>
      <w:sz w:val="24"/>
    </w:rPr>
  </w:style>
  <w:style w:type="character" w:styleId="ListLabel274">
    <w:name w:val="ListLabel 274"/>
    <w:qFormat/>
    <w:rPr>
      <w:rFonts w:cs="Courier New"/>
    </w:rPr>
  </w:style>
  <w:style w:type="character" w:styleId="ListLabel275">
    <w:name w:val="ListLabel 275"/>
    <w:qFormat/>
    <w:rPr>
      <w:rFonts w:cs="Wingdings"/>
    </w:rPr>
  </w:style>
  <w:style w:type="character" w:styleId="ListLabel276">
    <w:name w:val="ListLabel 276"/>
    <w:qFormat/>
    <w:rPr>
      <w:rFonts w:cs="Symbol"/>
    </w:rPr>
  </w:style>
  <w:style w:type="character" w:styleId="ListLabel277">
    <w:name w:val="ListLabel 277"/>
    <w:qFormat/>
    <w:rPr>
      <w:rFonts w:cs="Courier New"/>
    </w:rPr>
  </w:style>
  <w:style w:type="character" w:styleId="ListLabel278">
    <w:name w:val="ListLabel 278"/>
    <w:qFormat/>
    <w:rPr>
      <w:rFonts w:cs="Wingdings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ascii="Arial" w:hAnsi="Arial" w:cs="Times New Roman"/>
      <w:b/>
      <w:sz w:val="22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  <w:sz w:val="22"/>
    </w:rPr>
  </w:style>
  <w:style w:type="character" w:styleId="ListLabel292">
    <w:name w:val="ListLabel 292"/>
    <w:qFormat/>
    <w:rPr>
      <w:rFonts w:ascii="Times New Roman" w:hAnsi="Times New Roman" w:cs="Arial"/>
      <w:sz w:val="22"/>
    </w:rPr>
  </w:style>
  <w:style w:type="character" w:styleId="ListLabel293">
    <w:name w:val="ListLabel 293"/>
    <w:qFormat/>
    <w:rPr>
      <w:rFonts w:cs="Courier New"/>
    </w:rPr>
  </w:style>
  <w:style w:type="character" w:styleId="ListLabel294">
    <w:name w:val="ListLabel 294"/>
    <w:qFormat/>
    <w:rPr>
      <w:rFonts w:cs="Wingdings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Courier New"/>
    </w:rPr>
  </w:style>
  <w:style w:type="character" w:styleId="ListLabel297">
    <w:name w:val="ListLabel 297"/>
    <w:qFormat/>
    <w:rPr>
      <w:rFonts w:cs="Wingdings"/>
    </w:rPr>
  </w:style>
  <w:style w:type="character" w:styleId="ListLabel298">
    <w:name w:val="ListLabel 298"/>
    <w:qFormat/>
    <w:rPr>
      <w:rFonts w:cs="Symbol"/>
    </w:rPr>
  </w:style>
  <w:style w:type="character" w:styleId="ListLabel299">
    <w:name w:val="ListLabel 299"/>
    <w:qFormat/>
    <w:rPr>
      <w:rFonts w:cs="Courier New"/>
    </w:rPr>
  </w:style>
  <w:style w:type="character" w:styleId="ListLabel300">
    <w:name w:val="ListLabel 300"/>
    <w:qFormat/>
    <w:rPr>
      <w:rFonts w:cs="Wingdings"/>
    </w:rPr>
  </w:style>
  <w:style w:type="character" w:styleId="ListLabel301">
    <w:name w:val="ListLabel 301"/>
    <w:qFormat/>
    <w:rPr>
      <w:rFonts w:ascii="Arial" w:hAnsi="Arial" w:cs="Times New Roman"/>
      <w:b/>
      <w:sz w:val="24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ascii="Arial" w:hAnsi="Arial" w:cs="Times New Roman"/>
      <w:b/>
      <w:sz w:val="22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cs="Symbol"/>
      <w:sz w:val="22"/>
    </w:rPr>
  </w:style>
  <w:style w:type="character" w:styleId="ListLabel320">
    <w:name w:val="ListLabel 320"/>
    <w:qFormat/>
    <w:rPr>
      <w:rFonts w:ascii="Times New Roman" w:hAnsi="Times New Roman" w:cs="Arial"/>
      <w:sz w:val="22"/>
    </w:rPr>
  </w:style>
  <w:style w:type="character" w:styleId="ListLabel321">
    <w:name w:val="ListLabel 321"/>
    <w:qFormat/>
    <w:rPr>
      <w:rFonts w:cs="Courier New"/>
    </w:rPr>
  </w:style>
  <w:style w:type="character" w:styleId="ListLabel322">
    <w:name w:val="ListLabel 322"/>
    <w:qFormat/>
    <w:rPr>
      <w:rFonts w:cs="Wingdings"/>
    </w:rPr>
  </w:style>
  <w:style w:type="character" w:styleId="ListLabel323">
    <w:name w:val="ListLabel 323"/>
    <w:qFormat/>
    <w:rPr>
      <w:rFonts w:cs="Symbol"/>
    </w:rPr>
  </w:style>
  <w:style w:type="character" w:styleId="ListLabel324">
    <w:name w:val="ListLabel 324"/>
    <w:qFormat/>
    <w:rPr>
      <w:rFonts w:cs="Courier New"/>
    </w:rPr>
  </w:style>
  <w:style w:type="character" w:styleId="ListLabel325">
    <w:name w:val="ListLabel 325"/>
    <w:qFormat/>
    <w:rPr>
      <w:rFonts w:cs="Wingdings"/>
    </w:rPr>
  </w:style>
  <w:style w:type="character" w:styleId="ListLabel326">
    <w:name w:val="ListLabel 326"/>
    <w:qFormat/>
    <w:rPr>
      <w:rFonts w:cs="Symbol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ascii="Arial" w:hAnsi="Arial" w:cs="Times New Roman"/>
      <w:b/>
      <w:sz w:val="24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ascii="Arial" w:hAnsi="Arial" w:cs="Times New Roman"/>
      <w:b/>
      <w:sz w:val="22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rFonts w:cs="Symbol"/>
    </w:rPr>
  </w:style>
  <w:style w:type="character" w:styleId="ListLabel345">
    <w:name w:val="ListLabel 345"/>
    <w:qFormat/>
    <w:rPr>
      <w:rFonts w:cs="Courier New"/>
    </w:rPr>
  </w:style>
  <w:style w:type="character" w:styleId="ListLabel346">
    <w:name w:val="ListLabel 346"/>
    <w:qFormat/>
    <w:rPr>
      <w:rFonts w:cs="Wingdings"/>
    </w:rPr>
  </w:style>
  <w:style w:type="character" w:styleId="ListLabel347">
    <w:name w:val="ListLabel 347"/>
    <w:qFormat/>
    <w:rPr>
      <w:rFonts w:cs="Symbol"/>
      <w:sz w:val="22"/>
    </w:rPr>
  </w:style>
  <w:style w:type="character" w:styleId="ListLabel348">
    <w:name w:val="ListLabel 348"/>
    <w:qFormat/>
    <w:rPr>
      <w:rFonts w:ascii="Times New Roman" w:hAnsi="Times New Roman" w:cs="Arial"/>
      <w:sz w:val="22"/>
    </w:rPr>
  </w:style>
  <w:style w:type="character" w:styleId="ListLabel349">
    <w:name w:val="ListLabel 349"/>
    <w:qFormat/>
    <w:rPr>
      <w:rFonts w:cs="Courier New"/>
    </w:rPr>
  </w:style>
  <w:style w:type="character" w:styleId="ListLabel350">
    <w:name w:val="ListLabel 350"/>
    <w:qFormat/>
    <w:rPr>
      <w:rFonts w:cs="Wingdings"/>
    </w:rPr>
  </w:style>
  <w:style w:type="character" w:styleId="ListLabel351">
    <w:name w:val="ListLabel 351"/>
    <w:qFormat/>
    <w:rPr>
      <w:rFonts w:cs="Symbol"/>
    </w:rPr>
  </w:style>
  <w:style w:type="character" w:styleId="ListLabel352">
    <w:name w:val="ListLabel 352"/>
    <w:qFormat/>
    <w:rPr>
      <w:rFonts w:cs="Courier New"/>
    </w:rPr>
  </w:style>
  <w:style w:type="character" w:styleId="ListLabel353">
    <w:name w:val="ListLabel 353"/>
    <w:qFormat/>
    <w:rPr>
      <w:rFonts w:cs="Wingdings"/>
    </w:rPr>
  </w:style>
  <w:style w:type="character" w:styleId="ListLabel354">
    <w:name w:val="ListLabel 354"/>
    <w:qFormat/>
    <w:rPr>
      <w:rFonts w:cs="Symbol"/>
    </w:rPr>
  </w:style>
  <w:style w:type="character" w:styleId="ListLabel355">
    <w:name w:val="ListLabel 355"/>
    <w:qFormat/>
    <w:rPr>
      <w:rFonts w:cs="Courier New"/>
    </w:rPr>
  </w:style>
  <w:style w:type="character" w:styleId="ListLabel356">
    <w:name w:val="ListLabel 356"/>
    <w:qFormat/>
    <w:rPr>
      <w:rFonts w:cs="Wingdings"/>
    </w:rPr>
  </w:style>
  <w:style w:type="character" w:styleId="ListLabel357">
    <w:name w:val="ListLabel 357"/>
    <w:qFormat/>
    <w:rPr>
      <w:rFonts w:ascii="Arial" w:hAnsi="Arial" w:cs="Times New Roman"/>
      <w:b/>
      <w:sz w:val="24"/>
    </w:rPr>
  </w:style>
  <w:style w:type="character" w:styleId="ListLabel358">
    <w:name w:val="ListLabel 358"/>
    <w:qFormat/>
    <w:rPr>
      <w:rFonts w:cs="Courier New"/>
    </w:rPr>
  </w:style>
  <w:style w:type="character" w:styleId="ListLabel359">
    <w:name w:val="ListLabel 359"/>
    <w:qFormat/>
    <w:rPr>
      <w:rFonts w:cs="Wingdings"/>
    </w:rPr>
  </w:style>
  <w:style w:type="character" w:styleId="ListLabel360">
    <w:name w:val="ListLabel 360"/>
    <w:qFormat/>
    <w:rPr>
      <w:rFonts w:cs="Symbol"/>
    </w:rPr>
  </w:style>
  <w:style w:type="character" w:styleId="ListLabel361">
    <w:name w:val="ListLabel 361"/>
    <w:qFormat/>
    <w:rPr>
      <w:rFonts w:cs="Courier New"/>
    </w:rPr>
  </w:style>
  <w:style w:type="character" w:styleId="ListLabel362">
    <w:name w:val="ListLabel 362"/>
    <w:qFormat/>
    <w:rPr>
      <w:rFonts w:cs="Wingdings"/>
    </w:rPr>
  </w:style>
  <w:style w:type="character" w:styleId="ListLabel363">
    <w:name w:val="ListLabel 363"/>
    <w:qFormat/>
    <w:rPr>
      <w:rFonts w:cs="Symbol"/>
    </w:rPr>
  </w:style>
  <w:style w:type="character" w:styleId="ListLabel364">
    <w:name w:val="ListLabel 364"/>
    <w:qFormat/>
    <w:rPr>
      <w:rFonts w:cs="Courier New"/>
    </w:rPr>
  </w:style>
  <w:style w:type="character" w:styleId="ListLabel365">
    <w:name w:val="ListLabel 365"/>
    <w:qFormat/>
    <w:rPr>
      <w:rFonts w:cs="Wingdings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>
      <w:rFonts w:ascii="Arial" w:hAnsi="Arial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ascii="Arial" w:hAnsi="Arial" w:cs="Mang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pPr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  <w:jc w:val="left"/>
    </w:pPr>
    <w:rPr>
      <w:rFonts w:eastAsia="Times New Roman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2C3C73B-D8DC-4FE8-B9F2-498945BC9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Application>LibreOffice/6.1.4.2$Windows_x86 LibreOffice_project/9d0f32d1f0b509096fd65e0d4bec26ddd1938fd3</Application>
  <Pages>9</Pages>
  <Words>2101</Words>
  <Characters>12701</Characters>
  <CharactersWithSpaces>15247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2018-07-31T11:09:00Z</dcterms:created>
  <dc:creator>Aleksandar</dc:creator>
  <dc:description/>
  <dc:language>en-US</dc:language>
  <cp:lastModifiedBy/>
  <cp:lastPrinted>2022-03-14T14:16:19Z</cp:lastPrinted>
  <dcterms:modified xsi:type="dcterms:W3CDTF">2022-03-16T14:43:51Z</dcterms:modified>
  <cp:revision>203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KSOProductBuildVer">
    <vt:lpwstr>1033-10.2.0.7587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