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 xml:space="preserve">Опис и спецификације услуга </w:t>
      </w:r>
      <w:r>
        <w:rPr>
          <w:rFonts w:cs="Arial" w:ascii="Arial" w:hAnsi="Arial"/>
          <w:b/>
          <w:bCs/>
          <w:iCs/>
          <w:sz w:val="26"/>
          <w:szCs w:val="26"/>
          <w:lang w:val="sr-CS"/>
        </w:rPr>
        <w:t xml:space="preserve">чишћења просторија 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CS"/>
        </w:rPr>
        <w:t>Градске управе града Зајечара</w:t>
      </w:r>
      <w:r>
        <w:rPr>
          <w:rFonts w:cs="Arial" w:ascii="Arial" w:hAnsi="Arial"/>
          <w:b/>
          <w:bCs/>
          <w:iCs/>
          <w:sz w:val="26"/>
          <w:szCs w:val="26"/>
          <w:lang w:val="sr-RS"/>
        </w:rPr>
        <w:t>.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ЈН  бр. 404-</w:t>
      </w:r>
      <w:r>
        <w:rPr>
          <w:rFonts w:cs="Arial" w:ascii="Arial" w:hAnsi="Arial"/>
          <w:b/>
          <w:bCs/>
          <w:iCs/>
          <w:sz w:val="26"/>
          <w:szCs w:val="26"/>
          <w:lang w:val="sr-RS"/>
        </w:rPr>
        <w:t>56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Тражене услуге: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sr-CS"/>
        </w:rPr>
        <w:t>Чишћење се обавља</w:t>
      </w:r>
      <w:r>
        <w:rPr>
          <w:rFonts w:ascii="Arial" w:hAnsi="Arial"/>
          <w:sz w:val="22"/>
          <w:szCs w:val="22"/>
          <w:lang w:val="sr-RS"/>
        </w:rPr>
        <w:t xml:space="preserve"> </w:t>
      </w:r>
      <w:r>
        <w:rPr>
          <w:rFonts w:ascii="Arial" w:hAnsi="Arial"/>
          <w:sz w:val="22"/>
          <w:szCs w:val="22"/>
          <w:lang w:val="sr-CS"/>
        </w:rPr>
        <w:t xml:space="preserve">на следећим локацијама </w:t>
      </w:r>
      <w:r>
        <w:rPr>
          <w:rFonts w:ascii="Arial" w:hAnsi="Arial"/>
          <w:sz w:val="22"/>
          <w:szCs w:val="22"/>
          <w:lang w:val="sr-RS"/>
        </w:rPr>
        <w:t>на територији града Зајечара</w:t>
      </w:r>
      <w:r>
        <w:rPr>
          <w:rFonts w:ascii="Arial" w:hAnsi="Arial"/>
          <w:sz w:val="22"/>
          <w:szCs w:val="22"/>
          <w:lang w:val="sr-CS"/>
        </w:rPr>
        <w:t>: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sr-CS"/>
        </w:rPr>
        <w:t>Објекат у Крфској улици бб (уред), укупне површине 446,00 м</w:t>
      </w:r>
      <w:r>
        <w:rPr>
          <w:rFonts w:ascii="Arial" w:hAnsi="Arial"/>
          <w:sz w:val="22"/>
          <w:szCs w:val="22"/>
          <w:vertAlign w:val="superscript"/>
          <w:lang w:val="sr-CS"/>
        </w:rPr>
        <w:t>2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sr-CS"/>
        </w:rPr>
        <w:t xml:space="preserve">Одељење за </w:t>
      </w:r>
      <w:r>
        <w:rPr>
          <w:rFonts w:ascii="Arial" w:hAnsi="Arial"/>
          <w:sz w:val="22"/>
          <w:szCs w:val="22"/>
          <w:lang w:val="sr-RS"/>
        </w:rPr>
        <w:t>инспекцијске</w:t>
      </w:r>
      <w:r>
        <w:rPr>
          <w:rFonts w:ascii="Arial" w:hAnsi="Arial"/>
          <w:sz w:val="22"/>
          <w:szCs w:val="22"/>
          <w:lang w:val="sr-CS"/>
        </w:rPr>
        <w:t xml:space="preserve"> послове (зграда </w:t>
      </w:r>
      <w:r>
        <w:rPr>
          <w:rFonts w:ascii="Arial" w:hAnsi="Arial"/>
          <w:sz w:val="22"/>
          <w:szCs w:val="22"/>
          <w:lang w:val="sr-RS"/>
        </w:rPr>
        <w:t>М</w:t>
      </w:r>
      <w:r>
        <w:rPr>
          <w:rFonts w:ascii="Arial" w:hAnsi="Arial"/>
          <w:sz w:val="22"/>
          <w:szCs w:val="22"/>
          <w:lang w:val="sr-CS"/>
        </w:rPr>
        <w:t>УП-а), укупне површине 169,00 м</w:t>
      </w:r>
      <w:r>
        <w:rPr>
          <w:rFonts w:ascii="Arial" w:hAnsi="Arial"/>
          <w:sz w:val="22"/>
          <w:szCs w:val="22"/>
          <w:vertAlign w:val="superscript"/>
          <w:lang w:val="sr-CS"/>
        </w:rPr>
        <w:t>2</w:t>
      </w:r>
      <w:r>
        <w:rPr>
          <w:rFonts w:ascii="Arial" w:hAnsi="Arial"/>
          <w:sz w:val="22"/>
          <w:szCs w:val="22"/>
          <w:lang w:val="sr-CS"/>
        </w:rPr>
        <w:t>;</w:t>
      </w:r>
    </w:p>
    <w:p>
      <w:pPr>
        <w:pStyle w:val="Normal"/>
        <w:numPr>
          <w:ilvl w:val="0"/>
          <w:numId w:val="1"/>
        </w:numPr>
        <w:rPr/>
      </w:pPr>
      <w:r>
        <w:rPr>
          <w:rFonts w:ascii="Arial" w:hAnsi="Arial"/>
          <w:sz w:val="22"/>
          <w:szCs w:val="22"/>
          <w:lang w:val="sr-CS"/>
        </w:rPr>
        <w:t>Објекат у улици Светозара Марковића бр. 6, укупне површине 358,00 м</w:t>
      </w:r>
      <w:r>
        <w:rPr>
          <w:rFonts w:ascii="Arial" w:hAnsi="Arial"/>
          <w:sz w:val="22"/>
          <w:szCs w:val="22"/>
          <w:vertAlign w:val="superscript"/>
          <w:lang w:val="sr-CS"/>
        </w:rPr>
        <w:t>2</w:t>
      </w:r>
      <w:r>
        <w:rPr>
          <w:rFonts w:ascii="Arial" w:hAnsi="Arial"/>
          <w:sz w:val="22"/>
          <w:szCs w:val="22"/>
          <w:lang w:val="sr-CS"/>
        </w:rPr>
        <w:t>;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sr-CS"/>
        </w:rPr>
        <w:t>Објекат у довришту главне зграде Г</w:t>
      </w:r>
      <w:r>
        <w:rPr>
          <w:rFonts w:ascii="Arial" w:hAnsi="Arial"/>
          <w:sz w:val="22"/>
          <w:szCs w:val="22"/>
          <w:lang w:val="sr-RS"/>
        </w:rPr>
        <w:t>радске управе града Зајечар</w:t>
      </w:r>
      <w:r>
        <w:rPr>
          <w:rFonts w:ascii="Arial" w:hAnsi="Arial"/>
          <w:sz w:val="22"/>
          <w:szCs w:val="22"/>
          <w:lang w:val="sr-CS"/>
        </w:rPr>
        <w:t>а, укупне површине 340,00 м</w:t>
      </w:r>
      <w:r>
        <w:rPr>
          <w:rFonts w:ascii="Arial" w:hAnsi="Arial"/>
          <w:sz w:val="22"/>
          <w:szCs w:val="22"/>
          <w:vertAlign w:val="superscript"/>
          <w:lang w:val="sr-CS"/>
        </w:rPr>
        <w:t>2</w:t>
      </w:r>
      <w:r>
        <w:rPr>
          <w:rFonts w:ascii="Arial" w:hAnsi="Arial"/>
          <w:sz w:val="22"/>
          <w:szCs w:val="22"/>
          <w:lang w:val="sr-CS"/>
        </w:rPr>
        <w:t>;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sr-CS"/>
        </w:rPr>
        <w:t xml:space="preserve">Главна зграда </w:t>
      </w:r>
      <w:bookmarkStart w:id="0" w:name="__DdeLink__79_3433687776"/>
      <w:r>
        <w:rPr>
          <w:rFonts w:ascii="Arial" w:hAnsi="Arial"/>
          <w:sz w:val="22"/>
          <w:szCs w:val="22"/>
          <w:lang w:val="sr-CS"/>
        </w:rPr>
        <w:t>Г</w:t>
      </w:r>
      <w:r>
        <w:rPr>
          <w:rFonts w:ascii="Arial" w:hAnsi="Arial"/>
          <w:sz w:val="22"/>
          <w:szCs w:val="22"/>
          <w:lang w:val="sr-RS"/>
        </w:rPr>
        <w:t>радске управе града Зајечар</w:t>
      </w:r>
      <w:r>
        <w:rPr>
          <w:rFonts w:ascii="Arial" w:hAnsi="Arial"/>
          <w:sz w:val="22"/>
          <w:szCs w:val="22"/>
          <w:lang w:val="sr-CS"/>
        </w:rPr>
        <w:t>а</w:t>
      </w:r>
      <w:bookmarkEnd w:id="0"/>
      <w:r>
        <w:rPr>
          <w:rFonts w:ascii="Arial" w:hAnsi="Arial"/>
          <w:sz w:val="22"/>
          <w:szCs w:val="22"/>
          <w:lang w:val="sr-CS"/>
        </w:rPr>
        <w:t>, укупне површине 1.698,35 м</w:t>
      </w:r>
      <w:r>
        <w:rPr>
          <w:rFonts w:ascii="Arial" w:hAnsi="Arial"/>
          <w:sz w:val="22"/>
          <w:szCs w:val="22"/>
          <w:vertAlign w:val="superscript"/>
          <w:lang w:val="sr-CS"/>
        </w:rPr>
        <w:t>2</w:t>
      </w:r>
      <w:r>
        <w:rPr>
          <w:rFonts w:ascii="Arial" w:hAnsi="Arial"/>
          <w:sz w:val="22"/>
          <w:szCs w:val="22"/>
          <w:lang w:val="sr-CS"/>
        </w:rPr>
        <w:t>;</w:t>
      </w:r>
    </w:p>
    <w:p>
      <w:pPr>
        <w:pStyle w:val="Normal"/>
        <w:numPr>
          <w:ilvl w:val="0"/>
          <w:numId w:val="1"/>
        </w:numPr>
        <w:rPr/>
      </w:pPr>
      <w:r>
        <w:rPr>
          <w:rFonts w:ascii="Arial" w:hAnsi="Arial"/>
          <w:sz w:val="22"/>
          <w:szCs w:val="22"/>
          <w:lang w:val="en-US"/>
        </w:rPr>
        <w:t>Двориште Градске</w:t>
      </w:r>
      <w:r>
        <w:rPr>
          <w:rFonts w:ascii="Arial" w:hAnsi="Arial"/>
          <w:sz w:val="22"/>
          <w:szCs w:val="22"/>
          <w:lang w:val="sr-RS"/>
        </w:rPr>
        <w:t xml:space="preserve"> управе града Зајечар</w:t>
      </w:r>
      <w:r>
        <w:rPr>
          <w:rFonts w:ascii="Arial" w:hAnsi="Arial"/>
          <w:sz w:val="22"/>
          <w:szCs w:val="22"/>
          <w:lang w:val="sr-CS"/>
        </w:rPr>
        <w:t>а, укупне површине 1.357 м</w:t>
      </w:r>
      <w:r>
        <w:rPr>
          <w:rFonts w:ascii="Arial" w:hAnsi="Arial"/>
          <w:sz w:val="22"/>
          <w:szCs w:val="22"/>
          <w:vertAlign w:val="superscript"/>
          <w:lang w:val="sr-CS"/>
        </w:rPr>
        <w:t>2</w:t>
      </w:r>
      <w:r>
        <w:rPr>
          <w:rFonts w:ascii="Arial" w:hAnsi="Arial"/>
          <w:sz w:val="22"/>
          <w:szCs w:val="22"/>
          <w:lang w:val="sr-CS"/>
        </w:rPr>
        <w:t>.</w:t>
      </w:r>
    </w:p>
    <w:p>
      <w:pPr>
        <w:pStyle w:val="Normal"/>
        <w:numPr>
          <w:ilvl w:val="0"/>
          <w:numId w:val="1"/>
        </w:numPr>
        <w:rPr>
          <w:rFonts w:ascii="Arial" w:hAnsi="Arial" w:cs="" w:cstheme="minorBidi"/>
        </w:rPr>
      </w:pPr>
      <w:r>
        <w:rPr>
          <w:rFonts w:eastAsia="Calibri" w:cs="" w:ascii="Arial" w:hAnsi="Arial" w:cstheme="minorBidi" w:eastAsiaTheme="minorHAnsi"/>
          <w:sz w:val="22"/>
          <w:szCs w:val="22"/>
          <w:lang w:val="en-US"/>
        </w:rPr>
        <w:t>O</w:t>
      </w:r>
      <w:r>
        <w:rPr>
          <w:rFonts w:eastAsia="Calibri" w:cs="" w:ascii="Arial" w:hAnsi="Arial" w:cstheme="minorBidi" w:eastAsiaTheme="minorHAnsi"/>
          <w:sz w:val="22"/>
          <w:szCs w:val="22"/>
          <w:lang w:val="sr-RS"/>
        </w:rPr>
        <w:t xml:space="preserve">бјекат у улици Доситејевој бр. 1, </w:t>
      </w:r>
      <w:r>
        <w:rPr>
          <w:rFonts w:eastAsia="Calibri" w:cs="" w:ascii="Arial" w:hAnsi="Arial" w:cstheme="minorBidi" w:eastAsiaTheme="minorHAnsi"/>
          <w:sz w:val="22"/>
          <w:szCs w:val="22"/>
          <w:lang w:val="en-US"/>
        </w:rPr>
        <w:t>VI</w:t>
      </w:r>
      <w:r>
        <w:rPr>
          <w:rFonts w:eastAsia="Calibri" w:cs="" w:ascii="Arial" w:hAnsi="Arial" w:cstheme="minorBidi" w:eastAsiaTheme="minorHAnsi"/>
          <w:sz w:val="22"/>
          <w:szCs w:val="22"/>
          <w:lang w:val="sr-Latn-RS"/>
        </w:rPr>
        <w:t xml:space="preserve"> </w:t>
      </w:r>
      <w:r>
        <w:rPr>
          <w:rFonts w:eastAsia="Calibri" w:cs="" w:ascii="Arial" w:hAnsi="Arial" w:cstheme="minorBidi" w:eastAsiaTheme="minorHAnsi"/>
          <w:sz w:val="22"/>
          <w:szCs w:val="22"/>
          <w:lang w:val="sr-RS"/>
        </w:rPr>
        <w:t>и</w:t>
      </w:r>
      <w:r>
        <w:rPr>
          <w:rFonts w:eastAsia="Calibri" w:cs="" w:ascii="Arial" w:hAnsi="Arial" w:cstheme="minorBidi" w:eastAsiaTheme="minorHAnsi"/>
          <w:sz w:val="22"/>
          <w:szCs w:val="22"/>
          <w:lang w:val="en-US"/>
        </w:rPr>
        <w:t xml:space="preserve"> VII</w:t>
      </w:r>
      <w:r>
        <w:rPr>
          <w:rFonts w:eastAsia="Calibri" w:cs="" w:ascii="Arial" w:hAnsi="Arial" w:cstheme="minorBidi" w:eastAsiaTheme="minorHAnsi"/>
          <w:sz w:val="22"/>
          <w:szCs w:val="22"/>
          <w:lang w:val="sr-RS"/>
        </w:rPr>
        <w:t xml:space="preserve"> спрат, укупне површине </w:t>
      </w:r>
      <w:r>
        <w:rPr>
          <w:rFonts w:eastAsia="Calibri" w:cs="" w:ascii="Arial" w:hAnsi="Arial" w:cstheme="minorBidi" w:eastAsiaTheme="minorHAnsi"/>
          <w:sz w:val="22"/>
          <w:szCs w:val="22"/>
          <w:lang w:val="sr-Latn-RS"/>
        </w:rPr>
        <w:t>46</w:t>
      </w:r>
      <w:r>
        <w:rPr>
          <w:rFonts w:eastAsia="Calibri" w:cs="" w:ascii="Arial" w:hAnsi="Arial" w:cstheme="minorBidi" w:eastAsiaTheme="minorHAnsi"/>
          <w:sz w:val="22"/>
          <w:szCs w:val="22"/>
          <w:lang w:val="sr-RS"/>
        </w:rPr>
        <w:t>2,00м</w:t>
      </w:r>
      <w:r>
        <w:rPr>
          <w:rFonts w:eastAsia="Calibri" w:cs="" w:ascii="Arial" w:hAnsi="Arial" w:cstheme="minorBidi" w:eastAsiaTheme="minorHAnsi"/>
          <w:sz w:val="22"/>
          <w:szCs w:val="22"/>
          <w:vertAlign w:val="superscript"/>
          <w:lang w:val="sr-RS"/>
        </w:rPr>
        <w:t>2</w:t>
      </w:r>
      <w:r>
        <w:rPr>
          <w:rFonts w:eastAsia="Calibri" w:cs="" w:ascii="Arial" w:hAnsi="Arial" w:cstheme="minorBidi" w:eastAsiaTheme="minorHAnsi"/>
          <w:sz w:val="22"/>
          <w:szCs w:val="22"/>
          <w:lang w:val="sr-Latn-RS"/>
        </w:rPr>
        <w:t>;</w:t>
      </w:r>
      <w:r>
        <w:rPr>
          <w:rFonts w:eastAsia="Calibri" w:cs="" w:ascii="Arial" w:hAnsi="Arial" w:cstheme="minorBidi" w:eastAsiaTheme="minorHAnsi"/>
          <w:sz w:val="22"/>
          <w:szCs w:val="22"/>
          <w:lang w:val="en-US"/>
        </w:rPr>
        <w:t xml:space="preserve"> </w:t>
      </w:r>
    </w:p>
    <w:p>
      <w:pPr>
        <w:pStyle w:val="Normal"/>
        <w:ind w:firstLine="360"/>
        <w:jc w:val="both"/>
        <w:rPr/>
      </w:pPr>
      <w:r>
        <w:rPr>
          <w:rFonts w:ascii="Arial" w:hAnsi="Arial"/>
          <w:sz w:val="22"/>
          <w:szCs w:val="22"/>
          <w:lang w:val="sr-CS"/>
        </w:rPr>
        <w:t xml:space="preserve">Укупна површина за чишћење у објектима </w:t>
      </w:r>
      <w:r>
        <w:rPr>
          <w:rFonts w:cs="" w:ascii="Arial" w:hAnsi="Arial" w:cstheme="minorBidi"/>
          <w:sz w:val="22"/>
          <w:szCs w:val="22"/>
          <w:lang w:val="sr-RS"/>
        </w:rPr>
        <w:t>3</w:t>
      </w:r>
      <w:r>
        <w:rPr>
          <w:rFonts w:cs="" w:ascii="Arial" w:hAnsi="Arial" w:cstheme="minorBidi"/>
          <w:sz w:val="22"/>
          <w:szCs w:val="22"/>
          <w:lang w:val="sr-CS"/>
        </w:rPr>
        <w:t>.</w:t>
      </w:r>
      <w:r>
        <w:rPr>
          <w:rFonts w:cs="" w:ascii="Arial" w:hAnsi="Arial" w:cstheme="minorBidi"/>
          <w:sz w:val="22"/>
          <w:szCs w:val="22"/>
          <w:lang w:val="sr-RS"/>
        </w:rPr>
        <w:t>473</w:t>
      </w:r>
      <w:r>
        <w:rPr>
          <w:rFonts w:cs="" w:ascii="Arial" w:hAnsi="Arial" w:cstheme="minorBidi"/>
          <w:sz w:val="22"/>
          <w:szCs w:val="22"/>
          <w:lang w:val="sr-CS"/>
        </w:rPr>
        <w:t>,35 м</w:t>
      </w:r>
      <w:r>
        <w:rPr>
          <w:rFonts w:ascii="Arial" w:hAnsi="Arial"/>
          <w:sz w:val="22"/>
          <w:szCs w:val="22"/>
          <w:vertAlign w:val="superscript"/>
          <w:lang w:val="sr-CS"/>
        </w:rPr>
        <w:t>2</w:t>
      </w:r>
      <w:r>
        <w:rPr>
          <w:rFonts w:ascii="Arial" w:hAnsi="Arial"/>
          <w:position w:val="0"/>
          <w:sz w:val="22"/>
          <w:sz w:val="22"/>
          <w:szCs w:val="22"/>
          <w:vertAlign w:val="baseline"/>
          <w:lang w:val="sr-RS"/>
        </w:rPr>
        <w:t xml:space="preserve"> </w:t>
      </w:r>
      <w:r>
        <w:rPr>
          <w:rFonts w:ascii="Arial" w:hAnsi="Arial"/>
          <w:sz w:val="22"/>
          <w:szCs w:val="22"/>
          <w:lang w:val="sr-CS"/>
        </w:rPr>
        <w:t>и дворишту 1.357 м</w:t>
      </w:r>
      <w:r>
        <w:rPr>
          <w:rFonts w:ascii="Arial" w:hAnsi="Arial"/>
          <w:sz w:val="22"/>
          <w:szCs w:val="22"/>
          <w:vertAlign w:val="superscript"/>
          <w:lang w:val="sr-CS"/>
        </w:rPr>
        <w:t>2</w:t>
      </w:r>
      <w:r>
        <w:rPr>
          <w:rFonts w:ascii="Arial" w:hAnsi="Arial"/>
          <w:sz w:val="22"/>
          <w:szCs w:val="22"/>
          <w:lang w:val="sr-CS"/>
        </w:rPr>
        <w:t xml:space="preserve">, </w:t>
      </w:r>
      <w:r>
        <w:rPr>
          <w:rFonts w:ascii="Arial" w:hAnsi="Arial"/>
          <w:sz w:val="22"/>
          <w:szCs w:val="22"/>
          <w:lang w:val="sr-RS"/>
        </w:rPr>
        <w:t xml:space="preserve">4.830,35 </w:t>
      </w:r>
      <w:r>
        <w:rPr>
          <w:rFonts w:ascii="Arial" w:hAnsi="Arial"/>
          <w:sz w:val="22"/>
          <w:szCs w:val="22"/>
          <w:lang w:val="sr-CS"/>
        </w:rPr>
        <w:t>м</w:t>
      </w:r>
      <w:r>
        <w:rPr>
          <w:rFonts w:ascii="Arial" w:hAnsi="Arial"/>
          <w:sz w:val="22"/>
          <w:szCs w:val="22"/>
          <w:vertAlign w:val="superscript"/>
          <w:lang w:val="sr-CS"/>
        </w:rPr>
        <w:t xml:space="preserve">2 </w:t>
      </w:r>
      <w:r>
        <w:rPr>
          <w:rFonts w:ascii="Arial" w:hAnsi="Arial"/>
          <w:sz w:val="22"/>
          <w:szCs w:val="22"/>
          <w:lang w:val="sr-RS"/>
        </w:rPr>
        <w:t>укупно.</w:t>
      </w:r>
    </w:p>
    <w:p>
      <w:pPr>
        <w:pStyle w:val="Normal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sr-CS"/>
        </w:rPr>
        <w:t>Понуђач обезбеђује: хемијска средства, опрему за чишћење, машине, усисиваче, вреће за изношење смећа.</w:t>
      </w:r>
    </w:p>
    <w:p>
      <w:pPr>
        <w:pStyle w:val="Normal"/>
        <w:ind w:firstLine="360"/>
        <w:jc w:val="both"/>
        <w:rPr>
          <w:rFonts w:ascii="Arial" w:hAnsi="Arial"/>
          <w:sz w:val="22"/>
          <w:szCs w:val="22"/>
          <w:lang w:val="sr-CS"/>
        </w:rPr>
      </w:pPr>
      <w:r>
        <w:rPr>
          <w:rFonts w:ascii="Arial" w:hAnsi="Arial"/>
          <w:sz w:val="22"/>
          <w:szCs w:val="22"/>
          <w:lang w:val="sr-CS"/>
        </w:rPr>
        <w:t>Понуђач је дужан да свакодневно чисти просторије и празни канте.</w:t>
      </w:r>
    </w:p>
    <w:p>
      <w:pPr>
        <w:pStyle w:val="Normal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sr-CS"/>
        </w:rPr>
        <w:t>Једанпут недељ</w:t>
      </w:r>
      <w:r>
        <w:rPr>
          <w:rFonts w:ascii="Arial" w:hAnsi="Arial"/>
          <w:sz w:val="22"/>
          <w:szCs w:val="22"/>
          <w:lang w:val="sr-RS"/>
        </w:rPr>
        <w:t>н</w:t>
      </w:r>
      <w:r>
        <w:rPr>
          <w:rFonts w:ascii="Arial" w:hAnsi="Arial"/>
          <w:sz w:val="22"/>
          <w:szCs w:val="22"/>
          <w:lang w:val="sr-CS"/>
        </w:rPr>
        <w:t>о генерално чишћење са прањем прозора.</w:t>
      </w:r>
    </w:p>
    <w:p>
      <w:pPr>
        <w:pStyle w:val="Normal"/>
        <w:spacing w:before="0" w:after="160"/>
        <w:ind w:firstLine="360"/>
        <w:jc w:val="both"/>
        <w:rPr/>
      </w:pPr>
      <w:r>
        <w:rPr>
          <w:rFonts w:cs="Arial" w:ascii="Arial" w:hAnsi="Arial"/>
          <w:b w:val="false"/>
          <w:bCs w:val="false"/>
          <w:iCs/>
          <w:sz w:val="22"/>
          <w:szCs w:val="22"/>
          <w:lang w:val="sr-CS"/>
        </w:rPr>
        <w:t xml:space="preserve">Број радника одређује сам понуђач.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Ч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CS"/>
        </w:rPr>
        <w:t>ишћење се обав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љ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CS"/>
        </w:rPr>
        <w:t>а после краја радног вемена наручиоца тј. од 15,30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en-US"/>
        </w:rPr>
        <w:t>h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CS"/>
        </w:rPr>
        <w:t xml:space="preserve"> па на даље.</w:t>
      </w:r>
    </w:p>
    <w:p>
      <w:pPr>
        <w:pStyle w:val="Normal"/>
        <w:spacing w:before="0" w:after="160"/>
        <w:ind w:hanging="0"/>
        <w:jc w:val="both"/>
        <w:rPr>
          <w:b/>
          <w:b/>
          <w:bCs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НАПОМЕНА: 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Вршење услуга чишћења о</w:t>
      </w:r>
      <w:r>
        <w:rPr>
          <w:rFonts w:eastAsia="Calibri" w:cs="" w:ascii="Arial" w:hAnsi="Arial" w:cstheme="minorBidi" w:eastAsiaTheme="minorHAnsi"/>
          <w:b w:val="false"/>
          <w:bCs w:val="false"/>
          <w:iCs/>
          <w:sz w:val="22"/>
          <w:szCs w:val="22"/>
          <w:lang w:val="sr-RS"/>
        </w:rPr>
        <w:t xml:space="preserve">бјекта у улици Доситејевој бр. 1, </w:t>
      </w:r>
      <w:r>
        <w:rPr>
          <w:rFonts w:eastAsia="Calibri" w:cs="" w:ascii="Arial" w:hAnsi="Arial" w:cstheme="minorBidi" w:eastAsiaTheme="minorHAnsi"/>
          <w:b w:val="false"/>
          <w:bCs w:val="false"/>
          <w:iCs/>
          <w:sz w:val="22"/>
          <w:szCs w:val="22"/>
          <w:lang w:val="en-US"/>
        </w:rPr>
        <w:t>VI</w:t>
      </w:r>
      <w:r>
        <w:rPr>
          <w:rFonts w:eastAsia="Calibri" w:cs="" w:ascii="Arial" w:hAnsi="Arial" w:cstheme="minorBidi" w:eastAsiaTheme="minorHAnsi"/>
          <w:b w:val="false"/>
          <w:bCs w:val="false"/>
          <w:iCs/>
          <w:sz w:val="22"/>
          <w:szCs w:val="22"/>
          <w:lang w:val="sr-Latn-RS"/>
        </w:rPr>
        <w:t xml:space="preserve"> </w:t>
      </w:r>
      <w:r>
        <w:rPr>
          <w:rFonts w:eastAsia="Calibri" w:cs="" w:ascii="Arial" w:hAnsi="Arial" w:cstheme="minorBidi" w:eastAsiaTheme="minorHAnsi"/>
          <w:b w:val="false"/>
          <w:bCs w:val="false"/>
          <w:iCs/>
          <w:sz w:val="22"/>
          <w:szCs w:val="22"/>
          <w:lang w:val="sr-RS"/>
        </w:rPr>
        <w:t>и</w:t>
      </w:r>
      <w:r>
        <w:rPr>
          <w:rFonts w:eastAsia="Calibri" w:cs="" w:ascii="Arial" w:hAnsi="Arial" w:cstheme="minorBidi" w:eastAsiaTheme="minorHAnsi"/>
          <w:b w:val="false"/>
          <w:bCs w:val="false"/>
          <w:iCs/>
          <w:sz w:val="22"/>
          <w:szCs w:val="22"/>
          <w:lang w:val="en-US"/>
        </w:rPr>
        <w:t xml:space="preserve"> VII</w:t>
      </w:r>
      <w:r>
        <w:rPr>
          <w:rFonts w:eastAsia="Calibri" w:cs="" w:ascii="Arial" w:hAnsi="Arial" w:cstheme="minorBidi" w:eastAsiaTheme="minorHAnsi"/>
          <w:b w:val="false"/>
          <w:bCs w:val="false"/>
          <w:iCs/>
          <w:sz w:val="22"/>
          <w:szCs w:val="22"/>
          <w:lang w:val="sr-RS"/>
        </w:rPr>
        <w:t xml:space="preserve"> спрат  неће се обављати свакодневно, већ према захтеву Наручиоца.</w:t>
      </w:r>
    </w:p>
    <w:p>
      <w:pPr>
        <w:pStyle w:val="Normal"/>
        <w:spacing w:before="0" w:after="160"/>
        <w:ind w:hanging="0"/>
        <w:jc w:val="both"/>
        <w:rPr>
          <w:b/>
          <w:b/>
          <w:bCs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Рок и начин плаћања:</w:t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 w:val="false"/>
          <w:bCs/>
          <w:iCs/>
          <w:color w:val="000000"/>
          <w:sz w:val="22"/>
          <w:szCs w:val="22"/>
          <w:lang w:val="ru-RU"/>
        </w:rPr>
        <w:t>У року од 45 дана од испостављања исправне фактуре регистроване у ЦРФ-у</w:t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>
          <w:b/>
          <w:b/>
          <w:bCs/>
          <w:lang w:val="sr-RS"/>
        </w:rPr>
      </w:pP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Време закључења уговора: </w:t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Наручилац ће закључити уговор са изабраним понуђачем након спроведеног поступка јавне набавке. Уговор се закључује на период трајања од 12 месеци .</w:t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Symbol">
    <w:charset w:val="01"/>
    <w:family w:val="swiss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386093785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vertAlign w:val="superscript"/>
        <w:sz w:val="22"/>
        <w:rFonts w:cs="Symbol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WW8Num14z0">
    <w:name w:val="WW8Num14z0"/>
    <w:qFormat/>
    <w:rPr>
      <w:rFonts w:ascii="Symbol" w:hAnsi="Symbol" w:cs="Symbol"/>
      <w:vertAlign w:val="superscript"/>
      <w:lang w:val="sr-CS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ListLabel1">
    <w:name w:val="ListLabel 1"/>
    <w:qFormat/>
    <w:rPr>
      <w:rFonts w:ascii="Arial" w:hAnsi="Arial" w:cs="Symbol"/>
      <w:sz w:val="22"/>
      <w:vertAlign w:val="superscript"/>
      <w:lang w:val="sr-CS"/>
    </w:rPr>
  </w:style>
  <w:style w:type="character" w:styleId="ListLabel2">
    <w:name w:val="ListLabel 2"/>
    <w:qFormat/>
    <w:rPr>
      <w:rFonts w:ascii="Arial" w:hAnsi="Arial" w:cs="Symbol"/>
      <w:sz w:val="22"/>
      <w:vertAlign w:val="superscript"/>
      <w:lang w:val="sr-CS"/>
    </w:rPr>
  </w:style>
  <w:style w:type="character" w:styleId="ListLabel3">
    <w:name w:val="ListLabel 3"/>
    <w:qFormat/>
    <w:rPr>
      <w:rFonts w:ascii="Arial" w:hAnsi="Arial" w:cs="Symbol"/>
      <w:sz w:val="22"/>
      <w:vertAlign w:val="superscript"/>
      <w:lang w:val="sr-CS"/>
    </w:rPr>
  </w:style>
  <w:style w:type="character" w:styleId="ListLabel4">
    <w:name w:val="ListLabel 4"/>
    <w:qFormat/>
    <w:rPr>
      <w:rFonts w:ascii="Arial" w:hAnsi="Arial" w:cs="Symbol"/>
      <w:sz w:val="22"/>
      <w:vertAlign w:val="superscript"/>
      <w:lang w:val="sr-CS"/>
    </w:rPr>
  </w:style>
  <w:style w:type="character" w:styleId="ListLabel5">
    <w:name w:val="ListLabel 5"/>
    <w:qFormat/>
    <w:rPr>
      <w:rFonts w:ascii="Arial" w:hAnsi="Arial" w:cs="Symbol"/>
      <w:sz w:val="22"/>
      <w:vertAlign w:val="superscript"/>
      <w:lang w:val="sr-C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4">
    <w:name w:val="WW8Num14"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Application>LibreOffice/6.2.8.2$Windows_X86_64 LibreOffice_project/f82ddfca21ebc1e222a662a32b25c0c9d20169ee</Application>
  <Pages>1</Pages>
  <Words>235</Words>
  <Characters>1307</Characters>
  <CharactersWithSpaces>1519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cp:lastPrinted>2020-10-28T13:47:46Z</cp:lastPrinted>
  <dcterms:modified xsi:type="dcterms:W3CDTF">2022-03-01T10:32:55Z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