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</w:rPr>
      </w:pPr>
      <w:r>
        <w:rPr>
          <w:rFonts w:cs="Arial" w:ascii="Arial" w:hAnsi="Arial"/>
          <w:b/>
          <w:bCs/>
          <w:iCs/>
          <w:sz w:val="26"/>
          <w:szCs w:val="26"/>
        </w:rPr>
      </w:r>
    </w:p>
    <w:p>
      <w:pPr>
        <w:pStyle w:val="Normal"/>
        <w:spacing w:before="0" w:after="0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iCs/>
          <w:sz w:val="22"/>
          <w:szCs w:val="22"/>
        </w:rPr>
        <w:t>Опис и спецификације</w:t>
      </w:r>
    </w:p>
    <w:p>
      <w:pPr>
        <w:pStyle w:val="Normal"/>
        <w:spacing w:before="0" w:after="0"/>
        <w:jc w:val="center"/>
        <w:rPr/>
      </w:pPr>
      <w:r>
        <w:rPr>
          <w:rFonts w:cs="Arial" w:ascii="Arial" w:hAnsi="Arial"/>
          <w:b/>
          <w:bCs/>
          <w:iCs/>
          <w:sz w:val="22"/>
          <w:szCs w:val="22"/>
        </w:rPr>
        <w:t xml:space="preserve"> </w:t>
      </w:r>
      <w:r>
        <w:rPr>
          <w:rFonts w:cs="Arial" w:ascii="Arial" w:hAnsi="Arial"/>
          <w:b/>
          <w:bCs/>
          <w:iCs/>
          <w:sz w:val="22"/>
          <w:szCs w:val="22"/>
        </w:rPr>
        <w:t xml:space="preserve">услуга </w:t>
      </w:r>
      <w:bookmarkStart w:id="0" w:name="__DdeLink__231_1606286137"/>
      <w:r>
        <w:rPr>
          <w:rFonts w:cs="Arial" w:ascii="Arial" w:hAnsi="Arial"/>
          <w:b/>
          <w:bCs/>
          <w:iCs/>
          <w:sz w:val="22"/>
          <w:szCs w:val="22"/>
        </w:rPr>
        <w:t>физичко техничког</w:t>
      </w:r>
      <w:bookmarkEnd w:id="0"/>
      <w:r>
        <w:rPr>
          <w:rFonts w:cs="Arial" w:ascii="Arial" w:hAnsi="Arial"/>
          <w:b/>
          <w:bCs/>
          <w:iCs/>
          <w:sz w:val="22"/>
          <w:szCs w:val="22"/>
        </w:rPr>
        <w:t xml:space="preserve"> обезбеђења 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>за  потребе</w:t>
      </w:r>
    </w:p>
    <w:p>
      <w:pPr>
        <w:pStyle w:val="Normal"/>
        <w:spacing w:before="0" w:after="0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iCs/>
          <w:sz w:val="22"/>
          <w:szCs w:val="22"/>
        </w:rPr>
        <w:t>Градске управе града Зајечара</w:t>
      </w:r>
    </w:p>
    <w:p>
      <w:pPr>
        <w:pStyle w:val="Normal"/>
        <w:spacing w:before="0" w:after="0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iCs/>
          <w:sz w:val="22"/>
          <w:szCs w:val="22"/>
        </w:rPr>
        <w:t>ЈН  бр. 404-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>108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iCs/>
          <w:sz w:val="22"/>
          <w:szCs w:val="22"/>
        </w:rPr>
        <w:t>Тражене услуге:</w:t>
      </w:r>
    </w:p>
    <w:p>
      <w:pPr>
        <w:pStyle w:val="Normal"/>
        <w:spacing w:lineRule="exact" w:line="230" w:before="1" w:after="0"/>
        <w:ind w:right="123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Начин и квалитет пружања услуга</w:t>
      </w:r>
    </w:p>
    <w:p>
      <w:pPr>
        <w:pStyle w:val="Normal"/>
        <w:spacing w:lineRule="exact" w:line="230" w:before="1" w:after="0"/>
        <w:ind w:right="123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exact" w:line="230" w:before="1" w:after="0"/>
        <w:ind w:right="123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Услуге обухватају физичко – техничко обезбеђење објекта наручиоца и заштиту запослених и других лица, као и имовине и инвентара од могућности оштећења и отуђења у складу са одредбама Закона о приватном обезбеђењу ("Сл. гласник РС", бр. 104/13, 42/15 и 87/2018) и другим важећим прописима који се односе на обављање предметне делатности и интерним актима Наручиоца.</w:t>
      </w:r>
    </w:p>
    <w:p>
      <w:pPr>
        <w:pStyle w:val="Normal"/>
        <w:spacing w:lineRule="exact" w:line="230" w:before="1" w:after="0"/>
        <w:ind w:right="123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Понуђач је дужан да предметне услуге пружа у складу са важећим стандардима и правилима струке.</w:t>
      </w:r>
    </w:p>
    <w:p>
      <w:pPr>
        <w:pStyle w:val="Normal"/>
        <w:spacing w:lineRule="exact" w:line="230" w:before="1" w:after="0"/>
        <w:ind w:right="123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exact" w:line="230" w:before="1" w:after="0"/>
        <w:ind w:right="123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Физичко-техничко обезбеђење обухвата:</w:t>
      </w:r>
    </w:p>
    <w:p>
      <w:pPr>
        <w:pStyle w:val="Normal"/>
        <w:spacing w:lineRule="exact" w:line="230" w:before="1" w:after="0"/>
        <w:ind w:right="123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1"/>
        </w:numPr>
        <w:spacing w:lineRule="exact" w:line="230" w:before="1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физичко обезбеђење објеката, имовине и запослених лица и странака у објекту и предузимање свих потребних и прописаних мера заштите;</w:t>
      </w:r>
    </w:p>
    <w:p>
      <w:pPr>
        <w:pStyle w:val="Normal"/>
        <w:numPr>
          <w:ilvl w:val="0"/>
          <w:numId w:val="1"/>
        </w:numPr>
        <w:spacing w:lineRule="exact" w:line="230" w:before="1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контролу уласка, изласка и кретања лица у објекту и у непосредној близини објекта и просторима који припадају пословним објектима (комуникације, дворишта, паркинг и сл.);</w:t>
      </w:r>
    </w:p>
    <w:p>
      <w:pPr>
        <w:pStyle w:val="Normal"/>
        <w:numPr>
          <w:ilvl w:val="0"/>
          <w:numId w:val="1"/>
        </w:numPr>
        <w:spacing w:lineRule="exact" w:line="230" w:before="1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контролу уношења и изношења предмета, материјала и опреме из  објекта;</w:t>
      </w:r>
    </w:p>
    <w:p>
      <w:pPr>
        <w:pStyle w:val="Normal"/>
        <w:numPr>
          <w:ilvl w:val="0"/>
          <w:numId w:val="1"/>
        </w:numPr>
        <w:spacing w:lineRule="exact" w:line="230" w:before="1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спречавање уношења експлозивних, запаљивих и штетних материја, направа и предмета у објекат;</w:t>
      </w:r>
    </w:p>
    <w:p>
      <w:pPr>
        <w:pStyle w:val="Normal"/>
        <w:numPr>
          <w:ilvl w:val="0"/>
          <w:numId w:val="1"/>
        </w:numPr>
        <w:spacing w:lineRule="exact" w:line="230" w:before="1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спречавање и сваке друге активности или појаве којом се угрожава безбедност објекта, имовине и лица у њима;</w:t>
      </w:r>
    </w:p>
    <w:p>
      <w:pPr>
        <w:pStyle w:val="Normal"/>
        <w:numPr>
          <w:ilvl w:val="0"/>
          <w:numId w:val="1"/>
        </w:numPr>
        <w:spacing w:lineRule="exact" w:line="230" w:before="1" w:after="0"/>
        <w:jc w:val="both"/>
        <w:rPr>
          <w:rFonts w:ascii="Arial" w:hAnsi="Arial" w:cs="Arial"/>
        </w:rPr>
      </w:pP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реализацију првих неопходних мера у случају откривања кривичних дела или друге појаве у вези са безбедношћу, обавештавање полиције, одговорног лица Наручиоца, задржавање починиоца кривичног дела до доласка полиције, обезбеђење места и доказа кривичног дела, догађаја или штетног случаја;</w:t>
      </w:r>
    </w:p>
    <w:p>
      <w:pPr>
        <w:pStyle w:val="Normal"/>
        <w:numPr>
          <w:ilvl w:val="0"/>
          <w:numId w:val="1"/>
        </w:numPr>
        <w:spacing w:lineRule="exact" w:line="230" w:before="1" w:after="0"/>
        <w:jc w:val="both"/>
        <w:rPr>
          <w:rFonts w:ascii="Arial" w:hAnsi="Arial" w:cs="Arial"/>
        </w:rPr>
      </w:pP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спровођење превентивних мера заштите од пожара, дежурство, односно надзор над системом за дојаву пожара, гашење почетних пожара и учествовање у гашењу пожара и евакуацији лица и материјалних добара, као и позивање ватрогасно - спасилачке јединице уколико је то потребно; </w:t>
      </w:r>
    </w:p>
    <w:p>
      <w:pPr>
        <w:pStyle w:val="Normal"/>
        <w:numPr>
          <w:ilvl w:val="0"/>
          <w:numId w:val="1"/>
        </w:numPr>
        <w:spacing w:lineRule="exact" w:line="230" w:before="1" w:after="0"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 xml:space="preserve"> </w:t>
      </w:r>
      <w:r>
        <w:rPr>
          <w:rFonts w:cs="Arial" w:ascii="Arial" w:hAnsi="Arial"/>
          <w:color w:val="auto"/>
          <w:sz w:val="22"/>
          <w:szCs w:val="22"/>
        </w:rPr>
        <w:t xml:space="preserve">праћење </w:t>
      </w:r>
      <w:r>
        <w:rPr>
          <w:rFonts w:cs="Arial" w:ascii="Arial" w:hAnsi="Arial"/>
          <w:color w:val="auto"/>
          <w:sz w:val="22"/>
          <w:szCs w:val="22"/>
          <w:lang w:val="sr-RS"/>
        </w:rPr>
        <w:t>система техничке заштите објеката Градске управе у складу са Планом обезбеђења</w:t>
      </w:r>
    </w:p>
    <w:p>
      <w:pPr>
        <w:pStyle w:val="Normal"/>
        <w:spacing w:lineRule="exact" w:line="230" w:before="1" w:after="0"/>
        <w:jc w:val="both"/>
        <w:rPr>
          <w:rFonts w:ascii="Arial" w:hAnsi="Arial"/>
          <w:color w:val="auto"/>
          <w:sz w:val="22"/>
          <w:szCs w:val="22"/>
        </w:rPr>
      </w:pPr>
      <w:r>
        <w:rPr>
          <w:rFonts w:ascii="Arial" w:hAnsi="Arial"/>
          <w:color w:val="auto"/>
          <w:sz w:val="22"/>
          <w:szCs w:val="22"/>
        </w:rPr>
      </w:r>
    </w:p>
    <w:p>
      <w:pPr>
        <w:pStyle w:val="Normal"/>
        <w:spacing w:lineRule="exact" w:line="230" w:before="1" w:after="0"/>
        <w:jc w:val="both"/>
        <w:rPr>
          <w:color w:val="FF0000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  <w:t>У вршењу послова физичко-техничке заштите службеник обезбеђења на дужности у штићеном простору има право и обавезу примене следећих овлашћења у складу са законом и то:</w:t>
      </w:r>
    </w:p>
    <w:p>
      <w:pPr>
        <w:pStyle w:val="Normal"/>
        <w:spacing w:lineRule="exact" w:line="230" w:before="1" w:after="0"/>
        <w:jc w:val="both"/>
        <w:rPr>
          <w:rFonts w:ascii="Arial" w:hAnsi="Arial"/>
          <w:color w:val="auto"/>
          <w:sz w:val="22"/>
          <w:szCs w:val="22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</w:r>
    </w:p>
    <w:p>
      <w:pPr>
        <w:pStyle w:val="ListParagraph"/>
        <w:numPr>
          <w:ilvl w:val="0"/>
          <w:numId w:val="2"/>
        </w:numPr>
        <w:spacing w:lineRule="exact" w:line="230" w:before="1" w:after="0"/>
        <w:contextualSpacing/>
        <w:jc w:val="both"/>
        <w:rPr>
          <w:rFonts w:ascii="Arial" w:hAnsi="Arial"/>
          <w:color w:val="auto"/>
          <w:sz w:val="22"/>
          <w:szCs w:val="22"/>
        </w:rPr>
      </w:pPr>
      <w:r>
        <w:rPr>
          <w:rFonts w:ascii="Arial" w:hAnsi="Arial"/>
          <w:color w:val="auto"/>
          <w:sz w:val="22"/>
          <w:szCs w:val="22"/>
          <w:lang w:val="sr-RS"/>
        </w:rPr>
        <w:t>издавање упозорења и наређења или забране уласка и боравка  лица;</w:t>
      </w:r>
    </w:p>
    <w:p>
      <w:pPr>
        <w:pStyle w:val="ListParagraph"/>
        <w:numPr>
          <w:ilvl w:val="0"/>
          <w:numId w:val="2"/>
        </w:numPr>
        <w:spacing w:lineRule="exact" w:line="230" w:before="1" w:after="0"/>
        <w:contextualSpacing/>
        <w:jc w:val="both"/>
        <w:rPr>
          <w:color w:val="FF0000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  <w:t>провера идентитета лица;</w:t>
      </w:r>
    </w:p>
    <w:p>
      <w:pPr>
        <w:pStyle w:val="ListParagraph"/>
        <w:numPr>
          <w:ilvl w:val="0"/>
          <w:numId w:val="2"/>
        </w:numPr>
        <w:spacing w:lineRule="exact" w:line="230" w:before="1" w:after="0"/>
        <w:contextualSpacing/>
        <w:jc w:val="both"/>
        <w:rPr>
          <w:color w:val="FF0000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  <w:t>преглед лица, предмета или возила;</w:t>
      </w:r>
    </w:p>
    <w:p>
      <w:pPr>
        <w:pStyle w:val="ListParagraph"/>
        <w:numPr>
          <w:ilvl w:val="0"/>
          <w:numId w:val="2"/>
        </w:numPr>
        <w:spacing w:lineRule="exact" w:line="230" w:before="1" w:after="0"/>
        <w:contextualSpacing/>
        <w:jc w:val="both"/>
        <w:rPr>
          <w:color w:val="FF0000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  <w:t>привремено одузимање предмета;</w:t>
      </w:r>
    </w:p>
    <w:p>
      <w:pPr>
        <w:pStyle w:val="ListParagraph"/>
        <w:numPr>
          <w:ilvl w:val="0"/>
          <w:numId w:val="2"/>
        </w:numPr>
        <w:spacing w:lineRule="exact" w:line="230" w:before="1" w:after="0"/>
        <w:contextualSpacing/>
        <w:jc w:val="both"/>
        <w:rPr>
          <w:color w:val="FF0000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  <w:t>привремно задржавање лица;</w:t>
      </w:r>
    </w:p>
    <w:p>
      <w:pPr>
        <w:pStyle w:val="ListParagraph"/>
        <w:numPr>
          <w:ilvl w:val="0"/>
          <w:numId w:val="2"/>
        </w:numPr>
        <w:spacing w:lineRule="exact" w:line="230" w:before="1" w:after="0"/>
        <w:contextualSpacing/>
        <w:jc w:val="both"/>
        <w:rPr>
          <w:color w:val="FF0000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  <w:t>употреба следећих средстава принуде:</w:t>
      </w:r>
    </w:p>
    <w:p>
      <w:pPr>
        <w:pStyle w:val="ListParagraph"/>
        <w:spacing w:lineRule="exact" w:line="230" w:before="1" w:after="0"/>
        <w:contextualSpacing/>
        <w:jc w:val="both"/>
        <w:rPr>
          <w:color w:val="FF0000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  <w:t>-средства за везивање;</w:t>
      </w:r>
    </w:p>
    <w:p>
      <w:pPr>
        <w:pStyle w:val="ListParagraph"/>
        <w:spacing w:lineRule="exact" w:line="230" w:before="1" w:after="0"/>
        <w:contextualSpacing/>
        <w:jc w:val="both"/>
        <w:rPr>
          <w:color w:val="FF0000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  <w:t>-физичке снаге;</w:t>
      </w:r>
    </w:p>
    <w:p>
      <w:pPr>
        <w:pStyle w:val="ListParagraph"/>
        <w:spacing w:lineRule="exact" w:line="230" w:before="1" w:after="0"/>
        <w:contextualSpacing/>
        <w:jc w:val="both"/>
        <w:rPr>
          <w:color w:val="FF0000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  <w:t>-гасног спреја.</w:t>
      </w:r>
    </w:p>
    <w:p>
      <w:pPr>
        <w:pStyle w:val="ListParagraph"/>
        <w:spacing w:lineRule="exact" w:line="230" w:before="1" w:after="0"/>
        <w:contextualSpacing/>
        <w:jc w:val="both"/>
        <w:rPr>
          <w:rFonts w:ascii="Arial" w:hAnsi="Arial"/>
          <w:color w:val="auto"/>
          <w:sz w:val="22"/>
          <w:szCs w:val="22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</w:r>
    </w:p>
    <w:p>
      <w:pPr>
        <w:pStyle w:val="Normal"/>
        <w:spacing w:lineRule="exact" w:line="230" w:before="1" w:after="0"/>
        <w:jc w:val="both"/>
        <w:rPr>
          <w:color w:val="FF0000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  <w:t>Службеници обезбеђења морају бити оспособљени и опремљени за примену наведених овлашћења.</w:t>
      </w:r>
    </w:p>
    <w:p>
      <w:pPr>
        <w:pStyle w:val="Normal"/>
        <w:spacing w:lineRule="exact" w:line="230" w:before="1" w:after="0"/>
        <w:jc w:val="both"/>
        <w:rPr>
          <w:rFonts w:ascii="Arial" w:hAnsi="Arial"/>
          <w:color w:val="auto"/>
          <w:sz w:val="22"/>
          <w:szCs w:val="22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</w:r>
    </w:p>
    <w:p>
      <w:pPr>
        <w:pStyle w:val="Normal"/>
        <w:spacing w:lineRule="exact" w:line="230" w:before="1" w:after="0"/>
        <w:jc w:val="both"/>
        <w:rPr>
          <w:color w:val="FF0000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  <w:t xml:space="preserve">За све ангажоване службенике обезбеђења Давалац услуге мора пре њиховог ангажовања одговорном лицу за заштиту Градсек управе да достави: </w:t>
      </w:r>
    </w:p>
    <w:p>
      <w:pPr>
        <w:pStyle w:val="ListParagraph"/>
        <w:numPr>
          <w:ilvl w:val="0"/>
          <w:numId w:val="2"/>
        </w:numPr>
        <w:spacing w:lineRule="exact" w:line="230" w:before="1" w:after="0"/>
        <w:contextualSpacing/>
        <w:jc w:val="both"/>
        <w:rPr>
          <w:color w:val="FF0000"/>
        </w:rPr>
      </w:pPr>
      <w:r>
        <w:rPr>
          <w:rFonts w:ascii="Arial" w:hAnsi="Arial"/>
          <w:color w:val="auto"/>
          <w:sz w:val="22"/>
          <w:szCs w:val="22"/>
          <w:lang w:val="sr-RS"/>
        </w:rPr>
        <w:t>фотокопију личне карте;</w:t>
      </w:r>
    </w:p>
    <w:p>
      <w:pPr>
        <w:pStyle w:val="ListParagraph"/>
        <w:numPr>
          <w:ilvl w:val="0"/>
          <w:numId w:val="2"/>
        </w:numPr>
        <w:spacing w:lineRule="exact" w:line="230" w:before="1" w:after="0"/>
        <w:contextualSpacing/>
        <w:jc w:val="both"/>
        <w:rPr>
          <w:color w:val="FF0000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  <w:t>копију уговора о раду;</w:t>
      </w:r>
    </w:p>
    <w:p>
      <w:pPr>
        <w:pStyle w:val="ListParagraph"/>
        <w:numPr>
          <w:ilvl w:val="0"/>
          <w:numId w:val="2"/>
        </w:numPr>
        <w:spacing w:lineRule="exact" w:line="230" w:before="1" w:after="0"/>
        <w:contextualSpacing/>
        <w:jc w:val="both"/>
        <w:rPr>
          <w:color w:val="FF0000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  <w:t>МА образац;</w:t>
      </w:r>
    </w:p>
    <w:p>
      <w:pPr>
        <w:pStyle w:val="ListParagraph"/>
        <w:numPr>
          <w:ilvl w:val="0"/>
          <w:numId w:val="2"/>
        </w:numPr>
        <w:spacing w:lineRule="exact" w:line="230" w:before="1" w:after="0"/>
        <w:contextualSpacing/>
        <w:jc w:val="both"/>
        <w:rPr>
          <w:color w:val="FF0000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  <w:t>образац бр.6;</w:t>
      </w:r>
    </w:p>
    <w:p>
      <w:pPr>
        <w:pStyle w:val="ListParagraph"/>
        <w:numPr>
          <w:ilvl w:val="0"/>
          <w:numId w:val="2"/>
        </w:numPr>
        <w:spacing w:lineRule="exact" w:line="230" w:before="1" w:after="0"/>
        <w:contextualSpacing/>
        <w:jc w:val="both"/>
        <w:rPr>
          <w:color w:val="FF0000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  <w:t>лиценцу за вршење послова физичко-техничке заштите без оружја.</w:t>
      </w:r>
    </w:p>
    <w:p>
      <w:pPr>
        <w:pStyle w:val="ListParagraph"/>
        <w:spacing w:lineRule="exact" w:line="230" w:before="1" w:after="0"/>
        <w:contextualSpacing/>
        <w:jc w:val="both"/>
        <w:rPr>
          <w:rFonts w:ascii="Arial" w:hAnsi="Arial"/>
          <w:color w:val="auto"/>
          <w:sz w:val="22"/>
          <w:szCs w:val="22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</w:r>
    </w:p>
    <w:p>
      <w:pPr>
        <w:pStyle w:val="Normal"/>
        <w:spacing w:lineRule="exact" w:line="230" w:before="1" w:after="0"/>
        <w:jc w:val="both"/>
        <w:rPr>
          <w:color w:val="FF0000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  <w:t>Давалац услуге се обавезује да запосленима који су ангажовани на пословима физичко-техничке заштите исплаћује зараде у законском року.</w:t>
      </w:r>
    </w:p>
    <w:p>
      <w:pPr>
        <w:pStyle w:val="Normal"/>
        <w:spacing w:lineRule="exact" w:line="230" w:before="1" w:after="0"/>
        <w:jc w:val="both"/>
        <w:rPr>
          <w:rFonts w:ascii="Arial" w:hAnsi="Arial"/>
          <w:color w:val="auto"/>
          <w:sz w:val="22"/>
          <w:szCs w:val="22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</w:r>
    </w:p>
    <w:p>
      <w:pPr>
        <w:pStyle w:val="Normal"/>
        <w:spacing w:lineRule="exact" w:line="230" w:before="1" w:after="0"/>
        <w:jc w:val="both"/>
        <w:rPr>
          <w:color w:val="FF0000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  <w:t>Изабрани понуђач пре почетка пружања услуге  мора да изради Упутство за рад службеника оезбеђења у складу са Планом обезбеђења.</w:t>
      </w:r>
    </w:p>
    <w:p>
      <w:pPr>
        <w:pStyle w:val="Normal"/>
        <w:spacing w:lineRule="exact" w:line="230" w:before="1" w:after="0"/>
        <w:jc w:val="both"/>
        <w:rPr>
          <w:rFonts w:ascii="Arial" w:hAnsi="Arial"/>
          <w:color w:val="auto"/>
          <w:sz w:val="22"/>
          <w:szCs w:val="22"/>
        </w:rPr>
      </w:pPr>
      <w:r>
        <w:rPr>
          <w:rFonts w:ascii="Arial" w:hAnsi="Arial"/>
          <w:color w:val="auto"/>
          <w:sz w:val="22"/>
          <w:szCs w:val="22"/>
          <w:lang w:val="sr-RS"/>
        </w:rPr>
        <w:t>Службеници обезбеђења послове физичко-техничке заштите обављају у униформи у скалду са интерним актом Изабраног понуђача.</w:t>
      </w:r>
    </w:p>
    <w:p>
      <w:pPr>
        <w:pStyle w:val="Normal"/>
        <w:spacing w:lineRule="exact" w:line="230" w:before="1" w:after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spacing w:lineRule="exact" w:line="230" w:before="1" w:after="0"/>
        <w:ind w:right="123" w:hanging="0"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b/>
          <w:bCs/>
          <w:color w:val="auto"/>
          <w:sz w:val="22"/>
          <w:szCs w:val="22"/>
        </w:rPr>
        <w:t>Место и време  извршења услуга:</w:t>
      </w:r>
    </w:p>
    <w:p>
      <w:pPr>
        <w:pStyle w:val="Normal"/>
        <w:spacing w:lineRule="exact" w:line="230" w:before="1" w:after="0"/>
        <w:ind w:right="123" w:hang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</w:r>
    </w:p>
    <w:p>
      <w:pPr>
        <w:pStyle w:val="Normal"/>
        <w:spacing w:before="0" w:after="0"/>
        <w:rPr>
          <w:rFonts w:ascii="Arial" w:hAnsi="Arial"/>
          <w:color w:val="auto"/>
          <w:sz w:val="22"/>
          <w:szCs w:val="22"/>
        </w:rPr>
      </w:pPr>
      <w:r>
        <w:rPr>
          <w:rFonts w:ascii="Arial" w:hAnsi="Arial"/>
          <w:color w:val="auto"/>
          <w:sz w:val="22"/>
          <w:szCs w:val="22"/>
        </w:rPr>
        <w:t>Обезбеђење главне зграде Градске управе града Зајечара, ул. Трг ослобођења 1,24 сата, 365 дана.</w:t>
      </w:r>
    </w:p>
    <w:p>
      <w:pPr>
        <w:pStyle w:val="Normal"/>
        <w:spacing w:lineRule="exact" w:line="230" w:before="0" w:after="0"/>
        <w:ind w:right="123" w:hanging="0"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iCs/>
          <w:color w:val="auto"/>
          <w:sz w:val="22"/>
          <w:szCs w:val="22"/>
        </w:rPr>
        <w:t xml:space="preserve"> </w:t>
      </w:r>
      <w:r>
        <w:rPr>
          <w:rFonts w:cs="Arial" w:ascii="Arial" w:hAnsi="Arial"/>
          <w:iCs/>
          <w:color w:val="auto"/>
          <w:sz w:val="22"/>
          <w:szCs w:val="22"/>
        </w:rPr>
        <w:t>Ванредно обезбеђење по потреби наручиоца: до 500 сати</w:t>
      </w:r>
      <w:r>
        <w:rPr>
          <w:rFonts w:cs="Arial" w:ascii="Arial" w:hAnsi="Arial"/>
          <w:iCs/>
          <w:color w:val="auto"/>
          <w:sz w:val="22"/>
          <w:szCs w:val="22"/>
          <w:lang w:val="sr-RS"/>
        </w:rPr>
        <w:t>.</w:t>
      </w:r>
    </w:p>
    <w:p>
      <w:pPr>
        <w:pStyle w:val="Normal"/>
        <w:spacing w:lineRule="exact" w:line="230" w:before="0" w:after="0"/>
        <w:ind w:right="123" w:hanging="0"/>
        <w:jc w:val="both"/>
        <w:rPr>
          <w:rFonts w:ascii="Arial" w:hAnsi="Arial" w:cs="Arial"/>
          <w:iCs/>
          <w:color w:val="auto"/>
          <w:sz w:val="22"/>
          <w:szCs w:val="22"/>
          <w:lang w:val="sr-RS"/>
        </w:rPr>
      </w:pPr>
      <w:r>
        <w:rPr>
          <w:rFonts w:cs="Arial" w:ascii="Arial" w:hAnsi="Arial"/>
          <w:iCs/>
          <w:color w:val="auto"/>
          <w:sz w:val="22"/>
          <w:szCs w:val="22"/>
          <w:lang w:val="sr-RS"/>
        </w:rPr>
      </w:r>
    </w:p>
    <w:p>
      <w:pPr>
        <w:pStyle w:val="Normal"/>
        <w:spacing w:lineRule="exact" w:line="230" w:before="0" w:after="0"/>
        <w:ind w:right="123" w:hanging="0"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iCs/>
          <w:color w:val="auto"/>
          <w:sz w:val="22"/>
          <w:szCs w:val="22"/>
          <w:lang w:val="sr-RS"/>
        </w:rPr>
        <w:t>За потребе ванредног ангажовање службеника обезбеђења Наручилац мора да испостави  Понуђачу захтев 48 сати раније.</w:t>
      </w:r>
    </w:p>
    <w:p>
      <w:pPr>
        <w:pStyle w:val="Normal"/>
        <w:spacing w:lineRule="exact" w:line="230" w:before="0" w:after="0"/>
        <w:ind w:right="123" w:hanging="0"/>
        <w:jc w:val="both"/>
        <w:rPr>
          <w:rFonts w:ascii="Arial" w:hAnsi="Arial" w:cs="Arial"/>
          <w:iCs/>
          <w:color w:val="auto"/>
          <w:sz w:val="22"/>
          <w:szCs w:val="22"/>
        </w:rPr>
      </w:pPr>
      <w:r>
        <w:rPr>
          <w:rFonts w:cs="Arial" w:ascii="Arial" w:hAnsi="Arial"/>
          <w:iCs/>
          <w:color w:val="auto"/>
          <w:sz w:val="22"/>
          <w:szCs w:val="22"/>
        </w:rPr>
      </w:r>
    </w:p>
    <w:p>
      <w:pPr>
        <w:pStyle w:val="Normal"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b/>
          <w:bCs/>
          <w:iCs/>
          <w:color w:val="auto"/>
          <w:sz w:val="22"/>
          <w:szCs w:val="22"/>
        </w:rPr>
        <w:t>Рок и начин плаћања:</w:t>
      </w:r>
    </w:p>
    <w:p>
      <w:pPr>
        <w:pStyle w:val="Normal"/>
        <w:widowControl w:val="false"/>
        <w:tabs>
          <w:tab w:val="clear" w:pos="720"/>
          <w:tab w:val="left" w:pos="1110" w:leader="none"/>
        </w:tabs>
        <w:suppressAutoHyphens w:val="true"/>
        <w:spacing w:lineRule="auto" w:line="276"/>
        <w:jc w:val="both"/>
        <w:rPr>
          <w:rFonts w:ascii="Arial" w:hAnsi="Arial"/>
          <w:color w:val="auto"/>
          <w:sz w:val="22"/>
          <w:szCs w:val="22"/>
        </w:rPr>
      </w:pPr>
      <w:r>
        <w:rPr>
          <w:rFonts w:eastAsia="TimesNewRomanPSMT;Times New Rom" w:cs="Arial" w:ascii="Arial" w:hAnsi="Arial"/>
          <w:bCs/>
          <w:iCs/>
          <w:color w:val="auto"/>
          <w:sz w:val="22"/>
          <w:szCs w:val="22"/>
          <w:lang w:val="ru-RU"/>
        </w:rPr>
        <w:t>У року од 45 дана од испостављања исправне фактуре регистроване у ЦРФ-у</w:t>
      </w:r>
    </w:p>
    <w:p>
      <w:pPr>
        <w:pStyle w:val="Normal"/>
        <w:widowControl w:val="false"/>
        <w:tabs>
          <w:tab w:val="clear" w:pos="720"/>
          <w:tab w:val="left" w:pos="1110" w:leader="none"/>
        </w:tabs>
        <w:suppressAutoHyphens w:val="true"/>
        <w:spacing w:lineRule="auto" w:line="276"/>
        <w:jc w:val="both"/>
        <w:rPr>
          <w:rFonts w:ascii="Arial" w:hAnsi="Arial"/>
          <w:color w:val="auto"/>
          <w:sz w:val="22"/>
          <w:szCs w:val="22"/>
        </w:rPr>
      </w:pPr>
      <w:r>
        <w:rPr>
          <w:rFonts w:eastAsia="TimesNewRomanPSMT;Times New Rom" w:cs="Arial" w:ascii="Arial" w:hAnsi="Arial"/>
          <w:b/>
          <w:bCs/>
          <w:iCs/>
          <w:color w:val="auto"/>
          <w:sz w:val="22"/>
          <w:szCs w:val="22"/>
        </w:rPr>
        <w:t xml:space="preserve">Време закључења уговора: </w:t>
      </w:r>
    </w:p>
    <w:p>
      <w:pPr>
        <w:pStyle w:val="Normal"/>
        <w:widowControl w:val="false"/>
        <w:tabs>
          <w:tab w:val="clear" w:pos="720"/>
          <w:tab w:val="left" w:pos="1110" w:leader="none"/>
        </w:tabs>
        <w:suppressAutoHyphens w:val="true"/>
        <w:spacing w:lineRule="auto" w:line="276"/>
        <w:jc w:val="both"/>
        <w:rPr>
          <w:rFonts w:ascii="Arial" w:hAnsi="Arial"/>
          <w:color w:val="auto"/>
          <w:sz w:val="22"/>
          <w:szCs w:val="22"/>
        </w:rPr>
      </w:pPr>
      <w:r>
        <w:rPr>
          <w:rFonts w:eastAsia="TimesNewRomanPSMT;Times New Rom" w:cs="Arial" w:ascii="Arial" w:hAnsi="Arial"/>
          <w:iCs/>
          <w:color w:val="auto"/>
          <w:sz w:val="22"/>
          <w:szCs w:val="22"/>
        </w:rPr>
        <w:t>Наручилац ће закључити уговор са изабраним понуђачем po окончању поступка јавне набавке. Уговор се закључује на период трајања од 12 месеци.</w:t>
      </w:r>
    </w:p>
    <w:p>
      <w:pPr>
        <w:pStyle w:val="Normal"/>
        <w:spacing w:lineRule="exact" w:line="230" w:before="1" w:after="0"/>
        <w:ind w:right="123" w:hang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</w:r>
    </w:p>
    <w:p>
      <w:pPr>
        <w:pStyle w:val="Normal"/>
        <w:spacing w:lineRule="exact" w:line="230" w:before="1" w:after="0"/>
        <w:ind w:right="123" w:hanging="0"/>
        <w:jc w:val="both"/>
        <w:rPr>
          <w:rFonts w:ascii="Arial" w:hAnsi="Arial" w:cs="Arial"/>
          <w:b/>
          <w:b/>
          <w:color w:val="auto"/>
          <w:sz w:val="22"/>
          <w:szCs w:val="22"/>
        </w:rPr>
      </w:pPr>
      <w:r>
        <w:rPr>
          <w:rFonts w:cs="Arial" w:ascii="Arial" w:hAnsi="Arial"/>
          <w:b/>
          <w:color w:val="auto"/>
          <w:sz w:val="22"/>
          <w:szCs w:val="22"/>
        </w:rPr>
      </w:r>
      <w:bookmarkStart w:id="1" w:name="_GoBack"/>
      <w:bookmarkStart w:id="2" w:name="_GoBack"/>
      <w:bookmarkEnd w:id="2"/>
    </w:p>
    <w:p>
      <w:pPr>
        <w:pStyle w:val="Normal"/>
        <w:spacing w:lineRule="exact" w:line="230" w:before="1" w:after="0"/>
        <w:ind w:right="123" w:hanging="0"/>
        <w:jc w:val="both"/>
        <w:rPr/>
      </w:pPr>
      <w:r>
        <w:rPr/>
      </w:r>
    </w:p>
    <w:sectPr>
      <w:type w:val="nextPage"/>
      <w:pgSz w:w="11906" w:h="16838"/>
      <w:pgMar w:left="720" w:right="666" w:header="0" w:top="546" w:footer="0" w:bottom="526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Symbol">
    <w:charset w:val="01"/>
    <w:family w:val="swiss"/>
    <w:pitch w:val="default"/>
  </w:font>
  <w:font w:name="Courier New">
    <w:charset w:val="01"/>
    <w:family w:val="swiss"/>
    <w:pitch w:val="default"/>
  </w:font>
  <w:font w:name="Wingdings">
    <w:charset w:val="01"/>
    <w:family w:val="swiss"/>
    <w:pitch w:val="default"/>
  </w:font>
  <w:font w:name="Arial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OpenSymbol">
    <w:altName w:val="Arial Unicode MS"/>
    <w:charset w:val="01"/>
    <w:family w:val="auto"/>
    <w:pitch w:val="variable"/>
  </w:font>
  <w:font w:name="Calibri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z w:val="22"/>
        <w:rFonts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character" w:styleId="WW8Num14z0" w:customStyle="1">
    <w:name w:val="WW8Num14z0"/>
    <w:qFormat/>
    <w:rPr>
      <w:rFonts w:ascii="Symbol" w:hAnsi="Symbol" w:cs="Symbol"/>
      <w:vertAlign w:val="superscript"/>
    </w:rPr>
  </w:style>
  <w:style w:type="character" w:styleId="WW8Num14z1" w:customStyle="1">
    <w:name w:val="WW8Num14z1"/>
    <w:qFormat/>
    <w:rPr>
      <w:rFonts w:ascii="Courier New" w:hAnsi="Courier New" w:cs="Courier New"/>
    </w:rPr>
  </w:style>
  <w:style w:type="character" w:styleId="WW8Num14z2" w:customStyle="1">
    <w:name w:val="WW8Num14z2"/>
    <w:qFormat/>
    <w:rPr>
      <w:rFonts w:ascii="Wingdings" w:hAnsi="Wingdings" w:cs="Wingdings"/>
    </w:rPr>
  </w:style>
  <w:style w:type="character" w:styleId="ListLabel1" w:customStyle="1">
    <w:name w:val="ListLabel 1"/>
    <w:qFormat/>
    <w:rPr>
      <w:rFonts w:ascii="Arial" w:hAnsi="Arial" w:cs="Symbol"/>
      <w:sz w:val="22"/>
      <w:vertAlign w:val="superscript"/>
    </w:rPr>
  </w:style>
  <w:style w:type="character" w:styleId="ListLabel5" w:customStyle="1">
    <w:name w:val="ListLabel 5"/>
    <w:qFormat/>
    <w:rPr>
      <w:rFonts w:ascii="Arial" w:hAnsi="Arial" w:cs="Arial"/>
    </w:rPr>
  </w:style>
  <w:style w:type="character" w:styleId="ListLabel6" w:customStyle="1">
    <w:name w:val="ListLabel 6"/>
    <w:qFormat/>
    <w:rPr>
      <w:rFonts w:cs="Courier New"/>
    </w:rPr>
  </w:style>
  <w:style w:type="character" w:styleId="ListLabel7" w:customStyle="1">
    <w:name w:val="ListLabel 7"/>
    <w:qFormat/>
    <w:rPr>
      <w:rFonts w:cs="Wingdings"/>
    </w:rPr>
  </w:style>
  <w:style w:type="character" w:styleId="ListLabel8" w:customStyle="1">
    <w:name w:val="ListLabel 8"/>
    <w:qFormat/>
    <w:rPr>
      <w:rFonts w:cs="Symbol"/>
    </w:rPr>
  </w:style>
  <w:style w:type="character" w:styleId="ListLabel9" w:customStyle="1">
    <w:name w:val="ListLabel 9"/>
    <w:qFormat/>
    <w:rPr>
      <w:rFonts w:cs="Courier New"/>
    </w:rPr>
  </w:style>
  <w:style w:type="character" w:styleId="ListLabel10" w:customStyle="1">
    <w:name w:val="ListLabel 10"/>
    <w:qFormat/>
    <w:rPr>
      <w:rFonts w:cs="Wingdings"/>
    </w:rPr>
  </w:style>
  <w:style w:type="character" w:styleId="ListLabel11" w:customStyle="1">
    <w:name w:val="ListLabel 11"/>
    <w:qFormat/>
    <w:rPr>
      <w:rFonts w:cs="Symbol"/>
    </w:rPr>
  </w:style>
  <w:style w:type="character" w:styleId="ListLabel12" w:customStyle="1">
    <w:name w:val="ListLabel 12"/>
    <w:qFormat/>
    <w:rPr>
      <w:rFonts w:cs="Courier New"/>
    </w:rPr>
  </w:style>
  <w:style w:type="character" w:styleId="ListLabel13" w:customStyle="1">
    <w:name w:val="ListLabel 13"/>
    <w:qFormat/>
    <w:rPr>
      <w:rFonts w:cs="Wingdings"/>
    </w:rPr>
  </w:style>
  <w:style w:type="character" w:styleId="ListLabel14" w:customStyle="1">
    <w:name w:val="ListLabel 14"/>
    <w:qFormat/>
    <w:rPr>
      <w:rFonts w:cs="Arial"/>
    </w:rPr>
  </w:style>
  <w:style w:type="character" w:styleId="ListLabel15" w:customStyle="1">
    <w:name w:val="ListLabel 15"/>
    <w:qFormat/>
    <w:rPr>
      <w:rFonts w:cs="Courier New"/>
    </w:rPr>
  </w:style>
  <w:style w:type="character" w:styleId="ListLabel16" w:customStyle="1">
    <w:name w:val="ListLabel 16"/>
    <w:qFormat/>
    <w:rPr>
      <w:rFonts w:cs="Wingdings"/>
    </w:rPr>
  </w:style>
  <w:style w:type="character" w:styleId="ListLabel17" w:customStyle="1">
    <w:name w:val="ListLabel 17"/>
    <w:qFormat/>
    <w:rPr>
      <w:rFonts w:cs="Symbol"/>
    </w:rPr>
  </w:style>
  <w:style w:type="character" w:styleId="ListLabel18" w:customStyle="1">
    <w:name w:val="ListLabel 18"/>
    <w:qFormat/>
    <w:rPr>
      <w:rFonts w:cs="Courier New"/>
    </w:rPr>
  </w:style>
  <w:style w:type="character" w:styleId="ListLabel19" w:customStyle="1">
    <w:name w:val="ListLabel 19"/>
    <w:qFormat/>
    <w:rPr>
      <w:rFonts w:cs="Wingdings"/>
    </w:rPr>
  </w:style>
  <w:style w:type="character" w:styleId="ListLabel20" w:customStyle="1">
    <w:name w:val="ListLabel 20"/>
    <w:qFormat/>
    <w:rPr>
      <w:rFonts w:cs="Symbol"/>
    </w:rPr>
  </w:style>
  <w:style w:type="character" w:styleId="ListLabel21" w:customStyle="1">
    <w:name w:val="ListLabel 21"/>
    <w:qFormat/>
    <w:rPr>
      <w:rFonts w:cs="Courier New"/>
    </w:rPr>
  </w:style>
  <w:style w:type="character" w:styleId="ListLabel22" w:customStyle="1">
    <w:name w:val="ListLabel 22"/>
    <w:qFormat/>
    <w:rPr>
      <w:rFonts w:cs="Wingdings"/>
    </w:rPr>
  </w:style>
  <w:style w:type="character" w:styleId="ListLabel23" w:customStyle="1">
    <w:name w:val="ListLabel 23"/>
    <w:qFormat/>
    <w:rPr>
      <w:rFonts w:cs="Arial"/>
    </w:rPr>
  </w:style>
  <w:style w:type="character" w:styleId="ListLabel24" w:customStyle="1">
    <w:name w:val="ListLabel 24"/>
    <w:qFormat/>
    <w:rPr>
      <w:rFonts w:cs="Courier New"/>
    </w:rPr>
  </w:style>
  <w:style w:type="character" w:styleId="ListLabel25" w:customStyle="1">
    <w:name w:val="ListLabel 25"/>
    <w:qFormat/>
    <w:rPr>
      <w:rFonts w:cs="Wingdings"/>
    </w:rPr>
  </w:style>
  <w:style w:type="character" w:styleId="ListLabel26" w:customStyle="1">
    <w:name w:val="ListLabel 26"/>
    <w:qFormat/>
    <w:rPr>
      <w:rFonts w:cs="Symbol"/>
    </w:rPr>
  </w:style>
  <w:style w:type="character" w:styleId="ListLabel27" w:customStyle="1">
    <w:name w:val="ListLabel 27"/>
    <w:qFormat/>
    <w:rPr>
      <w:rFonts w:cs="Courier New"/>
    </w:rPr>
  </w:style>
  <w:style w:type="character" w:styleId="ListLabel28" w:customStyle="1">
    <w:name w:val="ListLabel 28"/>
    <w:qFormat/>
    <w:rPr>
      <w:rFonts w:cs="Wingdings"/>
    </w:rPr>
  </w:style>
  <w:style w:type="character" w:styleId="ListLabel29" w:customStyle="1">
    <w:name w:val="ListLabel 29"/>
    <w:qFormat/>
    <w:rPr>
      <w:rFonts w:cs="Symbol"/>
    </w:rPr>
  </w:style>
  <w:style w:type="character" w:styleId="ListLabel30" w:customStyle="1">
    <w:name w:val="ListLabel 30"/>
    <w:qFormat/>
    <w:rPr>
      <w:rFonts w:cs="Courier New"/>
    </w:rPr>
  </w:style>
  <w:style w:type="character" w:styleId="ListLabel31" w:customStyle="1">
    <w:name w:val="ListLabel 31"/>
    <w:qFormat/>
    <w:rPr>
      <w:rFonts w:cs="Wingdings"/>
    </w:rPr>
  </w:style>
  <w:style w:type="character" w:styleId="Bullets" w:customStyle="1">
    <w:name w:val="Bullets"/>
    <w:qFormat/>
    <w:rPr>
      <w:rFonts w:ascii="OpenSymbol" w:hAnsi="OpenSymbol" w:eastAsia="OpenSymbol" w:cs="OpenSymbol"/>
    </w:rPr>
  </w:style>
  <w:style w:type="character" w:styleId="ListLabel32" w:customStyle="1">
    <w:name w:val="ListLabel 32"/>
    <w:qFormat/>
    <w:rPr>
      <w:rFonts w:ascii="Arial" w:hAnsi="Arial" w:cs="OpenSymbol"/>
    </w:rPr>
  </w:style>
  <w:style w:type="character" w:styleId="ListLabel33" w:customStyle="1">
    <w:name w:val="ListLabel 33"/>
    <w:qFormat/>
    <w:rPr>
      <w:rFonts w:cs="OpenSymbol"/>
    </w:rPr>
  </w:style>
  <w:style w:type="character" w:styleId="ListLabel34" w:customStyle="1">
    <w:name w:val="ListLabel 34"/>
    <w:qFormat/>
    <w:rPr>
      <w:rFonts w:cs="OpenSymbol"/>
    </w:rPr>
  </w:style>
  <w:style w:type="character" w:styleId="ListLabel35" w:customStyle="1">
    <w:name w:val="ListLabel 35"/>
    <w:qFormat/>
    <w:rPr>
      <w:rFonts w:cs="OpenSymbol"/>
    </w:rPr>
  </w:style>
  <w:style w:type="character" w:styleId="ListLabel36" w:customStyle="1">
    <w:name w:val="ListLabel 36"/>
    <w:qFormat/>
    <w:rPr>
      <w:rFonts w:cs="OpenSymbol"/>
    </w:rPr>
  </w:style>
  <w:style w:type="character" w:styleId="ListLabel37" w:customStyle="1">
    <w:name w:val="ListLabel 37"/>
    <w:qFormat/>
    <w:rPr>
      <w:rFonts w:cs="OpenSymbol"/>
    </w:rPr>
  </w:style>
  <w:style w:type="character" w:styleId="ListLabel38" w:customStyle="1">
    <w:name w:val="ListLabel 38"/>
    <w:qFormat/>
    <w:rPr>
      <w:rFonts w:cs="OpenSymbol"/>
    </w:rPr>
  </w:style>
  <w:style w:type="character" w:styleId="ListLabel39" w:customStyle="1">
    <w:name w:val="ListLabel 39"/>
    <w:qFormat/>
    <w:rPr>
      <w:rFonts w:cs="OpenSymbol"/>
    </w:rPr>
  </w:style>
  <w:style w:type="character" w:styleId="ListLabel40" w:customStyle="1">
    <w:name w:val="ListLabel 40"/>
    <w:qFormat/>
    <w:rPr>
      <w:rFonts w:cs="OpenSymbol"/>
    </w:rPr>
  </w:style>
  <w:style w:type="character" w:styleId="ListLabel41">
    <w:name w:val="ListLabel 41"/>
    <w:qFormat/>
    <w:rPr>
      <w:rFonts w:ascii="Arial" w:hAnsi="Arial" w:cs="OpenSymbol"/>
    </w:rPr>
  </w:style>
  <w:style w:type="character" w:styleId="ListLabel42">
    <w:name w:val="ListLabel 42"/>
    <w:qFormat/>
    <w:rPr>
      <w:rFonts w:cs="OpenSymbol"/>
    </w:rPr>
  </w:style>
  <w:style w:type="character" w:styleId="ListLabel43">
    <w:name w:val="ListLabel 43"/>
    <w:qFormat/>
    <w:rPr>
      <w:rFonts w:cs="OpenSymbol"/>
    </w:rPr>
  </w:style>
  <w:style w:type="character" w:styleId="ListLabel44">
    <w:name w:val="ListLabel 44"/>
    <w:qFormat/>
    <w:rPr>
      <w:rFonts w:cs="OpenSymbol"/>
    </w:rPr>
  </w:style>
  <w:style w:type="character" w:styleId="ListLabel45">
    <w:name w:val="ListLabel 45"/>
    <w:qFormat/>
    <w:rPr>
      <w:rFonts w:cs="OpenSymbol"/>
    </w:rPr>
  </w:style>
  <w:style w:type="character" w:styleId="ListLabel46">
    <w:name w:val="ListLabel 46"/>
    <w:qFormat/>
    <w:rPr>
      <w:rFonts w:cs="OpenSymbol"/>
    </w:rPr>
  </w:style>
  <w:style w:type="character" w:styleId="ListLabel47">
    <w:name w:val="ListLabel 47"/>
    <w:qFormat/>
    <w:rPr>
      <w:rFonts w:cs="OpenSymbol"/>
    </w:rPr>
  </w:style>
  <w:style w:type="character" w:styleId="ListLabel48">
    <w:name w:val="ListLabel 48"/>
    <w:qFormat/>
    <w:rPr>
      <w:rFonts w:cs="OpenSymbol"/>
    </w:rPr>
  </w:style>
  <w:style w:type="character" w:styleId="ListLabel49">
    <w:name w:val="ListLabel 49"/>
    <w:qFormat/>
    <w:rPr>
      <w:rFonts w:cs="OpenSymbol"/>
    </w:rPr>
  </w:style>
  <w:style w:type="character" w:styleId="ListLabel50">
    <w:name w:val="ListLabel 50"/>
    <w:qFormat/>
    <w:rPr>
      <w:rFonts w:eastAsia="Calibri" w:cs="Calibri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Courier New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ascii="Arial" w:hAnsi="Arial" w:cs="OpenSymbol"/>
      <w:sz w:val="22"/>
    </w:rPr>
  </w:style>
  <w:style w:type="character" w:styleId="ListLabel55">
    <w:name w:val="ListLabel 55"/>
    <w:qFormat/>
    <w:rPr>
      <w:rFonts w:cs="OpenSymbol"/>
    </w:rPr>
  </w:style>
  <w:style w:type="character" w:styleId="ListLabel56">
    <w:name w:val="ListLabel 56"/>
    <w:qFormat/>
    <w:rPr>
      <w:rFonts w:cs="OpenSymbol"/>
    </w:rPr>
  </w:style>
  <w:style w:type="character" w:styleId="ListLabel57">
    <w:name w:val="ListLabel 57"/>
    <w:qFormat/>
    <w:rPr>
      <w:rFonts w:cs="OpenSymbol"/>
    </w:rPr>
  </w:style>
  <w:style w:type="character" w:styleId="ListLabel58">
    <w:name w:val="ListLabel 58"/>
    <w:qFormat/>
    <w:rPr>
      <w:rFonts w:cs="OpenSymbol"/>
    </w:rPr>
  </w:style>
  <w:style w:type="character" w:styleId="ListLabel59">
    <w:name w:val="ListLabel 59"/>
    <w:qFormat/>
    <w:rPr>
      <w:rFonts w:cs="OpenSymbol"/>
    </w:rPr>
  </w:style>
  <w:style w:type="character" w:styleId="ListLabel60">
    <w:name w:val="ListLabel 60"/>
    <w:qFormat/>
    <w:rPr>
      <w:rFonts w:cs="OpenSymbol"/>
    </w:rPr>
  </w:style>
  <w:style w:type="character" w:styleId="ListLabel61">
    <w:name w:val="ListLabel 61"/>
    <w:qFormat/>
    <w:rPr>
      <w:rFonts w:cs="OpenSymbol"/>
    </w:rPr>
  </w:style>
  <w:style w:type="character" w:styleId="ListLabel62">
    <w:name w:val="ListLabel 62"/>
    <w:qFormat/>
    <w:rPr>
      <w:rFonts w:cs="OpenSymbol"/>
    </w:rPr>
  </w:style>
  <w:style w:type="character" w:styleId="ListLabel63">
    <w:name w:val="ListLabel 63"/>
    <w:qFormat/>
    <w:rPr>
      <w:rFonts w:ascii="Arial" w:hAnsi="Arial" w:cs="Calibri"/>
      <w:sz w:val="22"/>
    </w:rPr>
  </w:style>
  <w:style w:type="character" w:styleId="ListLabel64">
    <w:name w:val="ListLabel 64"/>
    <w:qFormat/>
    <w:rPr>
      <w:rFonts w:cs="Courier New"/>
    </w:rPr>
  </w:style>
  <w:style w:type="character" w:styleId="ListLabel65">
    <w:name w:val="ListLabel 65"/>
    <w:qFormat/>
    <w:rPr>
      <w:rFonts w:cs="Wingdings"/>
    </w:rPr>
  </w:style>
  <w:style w:type="character" w:styleId="ListLabel66">
    <w:name w:val="ListLabel 66"/>
    <w:qFormat/>
    <w:rPr>
      <w:rFonts w:cs="Symbol"/>
    </w:rPr>
  </w:style>
  <w:style w:type="character" w:styleId="ListLabel67">
    <w:name w:val="ListLabel 67"/>
    <w:qFormat/>
    <w:rPr>
      <w:rFonts w:cs="Courier New"/>
    </w:rPr>
  </w:style>
  <w:style w:type="character" w:styleId="ListLabel68">
    <w:name w:val="ListLabel 68"/>
    <w:qFormat/>
    <w:rPr>
      <w:rFonts w:cs="Wingdings"/>
    </w:rPr>
  </w:style>
  <w:style w:type="character" w:styleId="ListLabel69">
    <w:name w:val="ListLabel 69"/>
    <w:qFormat/>
    <w:rPr>
      <w:rFonts w:cs="Symbol"/>
    </w:rPr>
  </w:style>
  <w:style w:type="character" w:styleId="ListLabel70">
    <w:name w:val="ListLabel 70"/>
    <w:qFormat/>
    <w:rPr>
      <w:rFonts w:cs="Courier New"/>
    </w:rPr>
  </w:style>
  <w:style w:type="character" w:styleId="ListLabel71">
    <w:name w:val="ListLabel 71"/>
    <w:qFormat/>
    <w:rPr>
      <w:rFonts w:cs="Wingdings"/>
    </w:rPr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ascii="Arial" w:hAnsi="Arial" w:cs="Mangal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fd3093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4" w:customStyle="1">
    <w:name w:val="WW8Num14"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Application>LibreOffice/6.2.8.2$Windows_X86_64 LibreOffice_project/f82ddfca21ebc1e222a662a32b25c0c9d20169ee</Application>
  <Pages>2</Pages>
  <Words>528</Words>
  <Characters>3133</Characters>
  <CharactersWithSpaces>3618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cp:lastPrinted>2020-10-28T13:47:00Z</cp:lastPrinted>
  <dcterms:modified xsi:type="dcterms:W3CDTF">2022-04-14T08:45:33Z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